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B66D" w14:textId="77777777" w:rsidR="00271DC7" w:rsidRDefault="00271DC7" w:rsidP="008E22F8">
      <w:pPr>
        <w:rPr>
          <w:rFonts w:ascii="Cambria" w:hAnsi="Cambria"/>
          <w:sz w:val="24"/>
          <w:szCs w:val="24"/>
        </w:rPr>
      </w:pPr>
    </w:p>
    <w:p w14:paraId="6FF4CB65" w14:textId="77777777" w:rsidR="00271DC7" w:rsidRDefault="00271DC7" w:rsidP="008E22F8">
      <w:pPr>
        <w:rPr>
          <w:rFonts w:ascii="Cambria" w:hAnsi="Cambria"/>
          <w:sz w:val="24"/>
          <w:szCs w:val="24"/>
        </w:rPr>
      </w:pPr>
    </w:p>
    <w:p w14:paraId="36580D98" w14:textId="0C47ED13" w:rsidR="00271DC7" w:rsidRDefault="00271DC7" w:rsidP="008E22F8">
      <w:pPr>
        <w:rPr>
          <w:rFonts w:ascii="Cambria" w:hAnsi="Cambria"/>
          <w:b/>
          <w:bCs/>
          <w:sz w:val="24"/>
          <w:szCs w:val="24"/>
        </w:rPr>
      </w:pPr>
      <w:r w:rsidRPr="00A2275A">
        <w:rPr>
          <w:rFonts w:ascii="Cambria" w:hAnsi="Cambria"/>
          <w:b/>
          <w:bCs/>
          <w:sz w:val="24"/>
          <w:szCs w:val="24"/>
        </w:rPr>
        <w:t xml:space="preserve">Abstracts </w:t>
      </w:r>
    </w:p>
    <w:p w14:paraId="6B011882" w14:textId="77777777" w:rsidR="00A2275A" w:rsidRDefault="00A2275A" w:rsidP="008E22F8">
      <w:pPr>
        <w:rPr>
          <w:rFonts w:ascii="Cambria" w:hAnsi="Cambria"/>
          <w:b/>
          <w:bCs/>
          <w:sz w:val="24"/>
          <w:szCs w:val="24"/>
        </w:rPr>
      </w:pPr>
    </w:p>
    <w:p w14:paraId="7F06E342" w14:textId="77777777" w:rsidR="00A2275A" w:rsidRDefault="00A2275A" w:rsidP="00A2275A">
      <w:pPr>
        <w:spacing w:after="200" w:line="276" w:lineRule="auto"/>
        <w:rPr>
          <w:rFonts w:ascii="Times New Roman" w:eastAsia="Calibri" w:hAnsi="Times New Roman" w:cs="Times New Roman"/>
          <w:b/>
          <w:bCs/>
          <w:iCs/>
          <w:sz w:val="24"/>
          <w:szCs w:val="24"/>
        </w:rPr>
      </w:pPr>
      <w:r w:rsidRPr="00916DCC">
        <w:rPr>
          <w:rFonts w:ascii="Times New Roman" w:eastAsia="Calibri" w:hAnsi="Times New Roman" w:cs="Times New Roman"/>
          <w:b/>
          <w:bCs/>
          <w:iCs/>
          <w:sz w:val="24"/>
          <w:szCs w:val="24"/>
        </w:rPr>
        <w:t>Hymns of Home: Vernacular Categories and the Intersections between the Local and the Global, Home and Away</w:t>
      </w:r>
    </w:p>
    <w:p w14:paraId="525C3C37" w14:textId="070FAA5A" w:rsidR="00A2275A" w:rsidRPr="00A2275A" w:rsidRDefault="00A2275A" w:rsidP="00A2275A">
      <w:pPr>
        <w:spacing w:after="200" w:line="276" w:lineRule="auto"/>
        <w:rPr>
          <w:rFonts w:ascii="Times New Roman" w:eastAsia="Calibri" w:hAnsi="Times New Roman" w:cs="Times New Roman"/>
          <w:b/>
          <w:bCs/>
          <w:iCs/>
          <w:sz w:val="24"/>
          <w:szCs w:val="24"/>
        </w:rPr>
      </w:pPr>
      <w:r w:rsidRPr="00916DCC">
        <w:rPr>
          <w:rFonts w:ascii="Times New Roman" w:eastAsia="Calibri" w:hAnsi="Times New Roman" w:cs="Times New Roman"/>
          <w:i/>
          <w:iCs/>
          <w:sz w:val="24"/>
          <w:szCs w:val="24"/>
        </w:rPr>
        <w:t>Khumisho Moguerane</w:t>
      </w:r>
    </w:p>
    <w:p w14:paraId="377EEE89" w14:textId="77777777" w:rsidR="00A2275A" w:rsidRPr="00916DCC" w:rsidRDefault="00A2275A" w:rsidP="00A2275A">
      <w:pPr>
        <w:spacing w:after="200"/>
        <w:rPr>
          <w:rFonts w:ascii="Times New Roman" w:eastAsia="Calibri" w:hAnsi="Times New Roman" w:cs="Times New Roman"/>
          <w:sz w:val="24"/>
          <w:szCs w:val="24"/>
        </w:rPr>
      </w:pPr>
      <w:r w:rsidRPr="00916DCC">
        <w:rPr>
          <w:rFonts w:ascii="Times New Roman" w:eastAsia="Calibri" w:hAnsi="Times New Roman" w:cs="Times New Roman"/>
          <w:sz w:val="24"/>
          <w:szCs w:val="24"/>
        </w:rPr>
        <w:t xml:space="preserve">In February of 1913, the Wesleyan Missionary Society issued an invitation for </w:t>
      </w:r>
      <w:proofErr w:type="gramStart"/>
      <w:r w:rsidRPr="00916DCC">
        <w:rPr>
          <w:rFonts w:ascii="Times New Roman" w:eastAsia="Calibri" w:hAnsi="Times New Roman" w:cs="Times New Roman"/>
          <w:sz w:val="24"/>
          <w:szCs w:val="24"/>
        </w:rPr>
        <w:t>original  contributions</w:t>
      </w:r>
      <w:proofErr w:type="gramEnd"/>
      <w:r w:rsidRPr="00916DCC">
        <w:rPr>
          <w:rFonts w:ascii="Times New Roman" w:eastAsia="Calibri" w:hAnsi="Times New Roman" w:cs="Times New Roman"/>
          <w:sz w:val="24"/>
          <w:szCs w:val="24"/>
        </w:rPr>
        <w:t xml:space="preserve"> to enlarge the </w:t>
      </w:r>
      <w:proofErr w:type="spellStart"/>
      <w:r w:rsidRPr="00916DCC">
        <w:rPr>
          <w:rFonts w:ascii="Times New Roman" w:eastAsia="Calibri" w:hAnsi="Times New Roman" w:cs="Times New Roman"/>
          <w:sz w:val="24"/>
          <w:szCs w:val="24"/>
        </w:rPr>
        <w:t>Sechuana</w:t>
      </w:r>
      <w:proofErr w:type="spellEnd"/>
      <w:r w:rsidRPr="00916DCC">
        <w:rPr>
          <w:rFonts w:ascii="Times New Roman" w:eastAsia="Calibri" w:hAnsi="Times New Roman" w:cs="Times New Roman"/>
          <w:sz w:val="24"/>
          <w:szCs w:val="24"/>
        </w:rPr>
        <w:t xml:space="preserve"> hymn book. This is how the hymn book gained a supplementary section of compositions 'for the </w:t>
      </w:r>
      <w:proofErr w:type="spellStart"/>
      <w:r w:rsidRPr="00916DCC">
        <w:rPr>
          <w:rFonts w:ascii="Times New Roman" w:eastAsia="Calibri" w:hAnsi="Times New Roman" w:cs="Times New Roman"/>
          <w:i/>
          <w:sz w:val="24"/>
          <w:szCs w:val="24"/>
        </w:rPr>
        <w:t>morafe</w:t>
      </w:r>
      <w:proofErr w:type="spellEnd"/>
      <w:r w:rsidRPr="00916DCC">
        <w:rPr>
          <w:rFonts w:ascii="Times New Roman" w:eastAsia="Calibri" w:hAnsi="Times New Roman" w:cs="Times New Roman"/>
          <w:sz w:val="24"/>
          <w:szCs w:val="24"/>
        </w:rPr>
        <w:t xml:space="preserve">.' Both the people of colonial Bechuanaland, including Silas Molema (c. 1850-1927) who contributed no less than ten original hymns, and the colonial administration translated the </w:t>
      </w:r>
      <w:proofErr w:type="spellStart"/>
      <w:r w:rsidRPr="00916DCC">
        <w:rPr>
          <w:rFonts w:ascii="Times New Roman" w:eastAsia="Calibri" w:hAnsi="Times New Roman" w:cs="Times New Roman"/>
          <w:i/>
          <w:sz w:val="24"/>
          <w:szCs w:val="24"/>
        </w:rPr>
        <w:t>morafe</w:t>
      </w:r>
      <w:proofErr w:type="spellEnd"/>
      <w:r w:rsidRPr="00916DCC">
        <w:rPr>
          <w:rFonts w:ascii="Times New Roman" w:eastAsia="Calibri" w:hAnsi="Times New Roman" w:cs="Times New Roman"/>
          <w:sz w:val="24"/>
          <w:szCs w:val="24"/>
        </w:rPr>
        <w:t xml:space="preserve"> variably as 'tribe', 'nation', 'people</w:t>
      </w:r>
      <w:proofErr w:type="gramStart"/>
      <w:r w:rsidRPr="00916DCC">
        <w:rPr>
          <w:rFonts w:ascii="Times New Roman" w:eastAsia="Calibri" w:hAnsi="Times New Roman" w:cs="Times New Roman"/>
          <w:sz w:val="24"/>
          <w:szCs w:val="24"/>
        </w:rPr>
        <w:t>'  and</w:t>
      </w:r>
      <w:proofErr w:type="gramEnd"/>
      <w:r w:rsidRPr="00916DCC">
        <w:rPr>
          <w:rFonts w:ascii="Times New Roman" w:eastAsia="Calibri" w:hAnsi="Times New Roman" w:cs="Times New Roman"/>
          <w:sz w:val="24"/>
          <w:szCs w:val="24"/>
        </w:rPr>
        <w:t xml:space="preserve">  'race' but almost always in a context of contestations about virtue and pedigrees of civility. As a vernacular category, the </w:t>
      </w:r>
      <w:proofErr w:type="spellStart"/>
      <w:r w:rsidRPr="00916DCC">
        <w:rPr>
          <w:rFonts w:ascii="Times New Roman" w:eastAsia="Calibri" w:hAnsi="Times New Roman" w:cs="Times New Roman"/>
          <w:i/>
          <w:sz w:val="24"/>
          <w:szCs w:val="24"/>
        </w:rPr>
        <w:t>morafe</w:t>
      </w:r>
      <w:proofErr w:type="spellEnd"/>
      <w:r w:rsidRPr="00916DCC">
        <w:rPr>
          <w:rFonts w:ascii="Times New Roman" w:eastAsia="Calibri" w:hAnsi="Times New Roman" w:cs="Times New Roman"/>
          <w:sz w:val="24"/>
          <w:szCs w:val="24"/>
        </w:rPr>
        <w:t xml:space="preserve"> is local, intricately related to Bechuanaland's own natural and cultural geographies. Yet, not least in how native speakers of </w:t>
      </w:r>
      <w:proofErr w:type="spellStart"/>
      <w:r w:rsidRPr="00916DCC">
        <w:rPr>
          <w:rFonts w:ascii="Times New Roman" w:eastAsia="Calibri" w:hAnsi="Times New Roman" w:cs="Times New Roman"/>
          <w:sz w:val="24"/>
          <w:szCs w:val="24"/>
        </w:rPr>
        <w:t>Sechuana</w:t>
      </w:r>
      <w:proofErr w:type="spellEnd"/>
      <w:r w:rsidRPr="00916DCC">
        <w:rPr>
          <w:rFonts w:ascii="Times New Roman" w:eastAsia="Calibri" w:hAnsi="Times New Roman" w:cs="Times New Roman"/>
          <w:sz w:val="24"/>
          <w:szCs w:val="24"/>
        </w:rPr>
        <w:t xml:space="preserve"> themselves translated it into English, the category seems to create possibilities of identification beyond its </w:t>
      </w:r>
      <w:proofErr w:type="gramStart"/>
      <w:r w:rsidRPr="00916DCC">
        <w:rPr>
          <w:rFonts w:ascii="Times New Roman" w:eastAsia="Calibri" w:hAnsi="Times New Roman" w:cs="Times New Roman"/>
          <w:sz w:val="24"/>
          <w:szCs w:val="24"/>
        </w:rPr>
        <w:t>particular locality</w:t>
      </w:r>
      <w:proofErr w:type="gramEnd"/>
      <w:r w:rsidRPr="00916DCC">
        <w:rPr>
          <w:rFonts w:ascii="Times New Roman" w:eastAsia="Calibri" w:hAnsi="Times New Roman" w:cs="Times New Roman"/>
          <w:sz w:val="24"/>
          <w:szCs w:val="24"/>
        </w:rPr>
        <w:t xml:space="preserve"> and history. Silas </w:t>
      </w:r>
      <w:proofErr w:type="spellStart"/>
      <w:r w:rsidRPr="00916DCC">
        <w:rPr>
          <w:rFonts w:ascii="Times New Roman" w:eastAsia="Calibri" w:hAnsi="Times New Roman" w:cs="Times New Roman"/>
          <w:sz w:val="24"/>
          <w:szCs w:val="24"/>
        </w:rPr>
        <w:t>Molemas</w:t>
      </w:r>
      <w:proofErr w:type="spellEnd"/>
      <w:r w:rsidRPr="00916DCC">
        <w:rPr>
          <w:rFonts w:ascii="Times New Roman" w:eastAsia="Calibri" w:hAnsi="Times New Roman" w:cs="Times New Roman"/>
          <w:sz w:val="24"/>
          <w:szCs w:val="24"/>
        </w:rPr>
        <w:t xml:space="preserve"> and others were </w:t>
      </w:r>
      <w:proofErr w:type="spellStart"/>
      <w:r w:rsidRPr="00916DCC">
        <w:rPr>
          <w:rFonts w:ascii="Times New Roman" w:eastAsia="Calibri" w:hAnsi="Times New Roman" w:cs="Times New Roman"/>
          <w:sz w:val="24"/>
          <w:szCs w:val="24"/>
        </w:rPr>
        <w:t>utilising</w:t>
      </w:r>
      <w:proofErr w:type="spellEnd"/>
      <w:r w:rsidRPr="00916DCC">
        <w:rPr>
          <w:rFonts w:ascii="Times New Roman" w:eastAsia="Calibri" w:hAnsi="Times New Roman" w:cs="Times New Roman"/>
          <w:sz w:val="24"/>
          <w:szCs w:val="24"/>
        </w:rPr>
        <w:t xml:space="preserve"> it also to include themselves in experiences of belonging that they understood others elsewhere to share. They were ethnographers of their own worlds, at once observing the practical </w:t>
      </w:r>
      <w:proofErr w:type="spellStart"/>
      <w:r w:rsidRPr="00916DCC">
        <w:rPr>
          <w:rFonts w:ascii="Times New Roman" w:eastAsia="Calibri" w:hAnsi="Times New Roman" w:cs="Times New Roman"/>
          <w:sz w:val="24"/>
          <w:szCs w:val="24"/>
        </w:rPr>
        <w:t>repetoires</w:t>
      </w:r>
      <w:proofErr w:type="spellEnd"/>
      <w:r w:rsidRPr="00916DCC">
        <w:rPr>
          <w:rFonts w:ascii="Times New Roman" w:eastAsia="Calibri" w:hAnsi="Times New Roman" w:cs="Times New Roman"/>
          <w:sz w:val="24"/>
          <w:szCs w:val="24"/>
        </w:rPr>
        <w:t xml:space="preserve"> that fashion their </w:t>
      </w:r>
      <w:proofErr w:type="gramStart"/>
      <w:r w:rsidRPr="00916DCC">
        <w:rPr>
          <w:rFonts w:ascii="Times New Roman" w:eastAsia="Calibri" w:hAnsi="Times New Roman" w:cs="Times New Roman"/>
          <w:sz w:val="24"/>
          <w:szCs w:val="24"/>
        </w:rPr>
        <w:t>particular identity</w:t>
      </w:r>
      <w:proofErr w:type="gramEnd"/>
      <w:r w:rsidRPr="00916DCC">
        <w:rPr>
          <w:rFonts w:ascii="Times New Roman" w:eastAsia="Calibri" w:hAnsi="Times New Roman" w:cs="Times New Roman"/>
          <w:sz w:val="24"/>
          <w:szCs w:val="24"/>
        </w:rPr>
        <w:t xml:space="preserve"> and translating them into a language of universal experience. As such, they were involved in the exercise of </w:t>
      </w:r>
      <w:proofErr w:type="spellStart"/>
      <w:r w:rsidRPr="00916DCC">
        <w:rPr>
          <w:rFonts w:ascii="Times New Roman" w:eastAsia="Calibri" w:hAnsi="Times New Roman" w:cs="Times New Roman"/>
          <w:sz w:val="24"/>
          <w:szCs w:val="24"/>
        </w:rPr>
        <w:t>theorising</w:t>
      </w:r>
      <w:proofErr w:type="spellEnd"/>
      <w:r w:rsidRPr="00916DCC">
        <w:rPr>
          <w:rFonts w:ascii="Times New Roman" w:eastAsia="Calibri" w:hAnsi="Times New Roman" w:cs="Times New Roman"/>
          <w:sz w:val="24"/>
          <w:szCs w:val="24"/>
        </w:rPr>
        <w:t xml:space="preserve">. I pay attention to this practice by exploring these hymns of the </w:t>
      </w:r>
      <w:proofErr w:type="spellStart"/>
      <w:r w:rsidRPr="00916DCC">
        <w:rPr>
          <w:rFonts w:ascii="Times New Roman" w:eastAsia="Calibri" w:hAnsi="Times New Roman" w:cs="Times New Roman"/>
          <w:i/>
          <w:sz w:val="24"/>
          <w:szCs w:val="24"/>
        </w:rPr>
        <w:t>morafe</w:t>
      </w:r>
      <w:proofErr w:type="spellEnd"/>
      <w:r w:rsidRPr="00916DCC">
        <w:rPr>
          <w:rFonts w:ascii="Times New Roman" w:eastAsia="Calibri" w:hAnsi="Times New Roman" w:cs="Times New Roman"/>
          <w:sz w:val="24"/>
          <w:szCs w:val="24"/>
        </w:rPr>
        <w:t xml:space="preserve">.  I argue that as a genre of 'reverent songs', hymns uniquely offer a way of reading that reveals the </w:t>
      </w:r>
      <w:proofErr w:type="spellStart"/>
      <w:r w:rsidRPr="00916DCC">
        <w:rPr>
          <w:rFonts w:ascii="Times New Roman" w:eastAsia="Calibri" w:hAnsi="Times New Roman" w:cs="Times New Roman"/>
          <w:i/>
          <w:sz w:val="24"/>
          <w:szCs w:val="24"/>
        </w:rPr>
        <w:t>morafe</w:t>
      </w:r>
      <w:proofErr w:type="spellEnd"/>
      <w:r w:rsidRPr="00916DCC">
        <w:rPr>
          <w:rFonts w:ascii="Times New Roman" w:eastAsia="Calibri" w:hAnsi="Times New Roman" w:cs="Times New Roman"/>
          <w:sz w:val="24"/>
          <w:szCs w:val="24"/>
        </w:rPr>
        <w:t xml:space="preserve"> as </w:t>
      </w:r>
      <w:proofErr w:type="gramStart"/>
      <w:r w:rsidRPr="00916DCC">
        <w:rPr>
          <w:rFonts w:ascii="Times New Roman" w:eastAsia="Calibri" w:hAnsi="Times New Roman" w:cs="Times New Roman"/>
          <w:sz w:val="24"/>
          <w:szCs w:val="24"/>
        </w:rPr>
        <w:t>a  '</w:t>
      </w:r>
      <w:proofErr w:type="gramEnd"/>
      <w:r w:rsidRPr="00916DCC">
        <w:rPr>
          <w:rFonts w:ascii="Times New Roman" w:eastAsia="Calibri" w:hAnsi="Times New Roman" w:cs="Times New Roman"/>
          <w:sz w:val="24"/>
          <w:szCs w:val="24"/>
        </w:rPr>
        <w:t xml:space="preserve">way of being' in the world. They illuminate the </w:t>
      </w:r>
      <w:proofErr w:type="spellStart"/>
      <w:r w:rsidRPr="00916DCC">
        <w:rPr>
          <w:rFonts w:ascii="Times New Roman" w:eastAsia="Calibri" w:hAnsi="Times New Roman" w:cs="Times New Roman"/>
          <w:i/>
          <w:sz w:val="24"/>
          <w:szCs w:val="24"/>
        </w:rPr>
        <w:t>morafe</w:t>
      </w:r>
      <w:proofErr w:type="spellEnd"/>
      <w:r w:rsidRPr="00916DCC">
        <w:rPr>
          <w:rFonts w:ascii="Times New Roman" w:eastAsia="Calibri" w:hAnsi="Times New Roman" w:cs="Times New Roman"/>
          <w:sz w:val="24"/>
          <w:szCs w:val="24"/>
        </w:rPr>
        <w:t xml:space="preserve"> as a moral category that speaks intimately to people's unique historical experience but that is, at the same time, concerned with the deeply existential dilemmas of what makes a human being </w:t>
      </w:r>
      <w:proofErr w:type="gramStart"/>
      <w:r w:rsidRPr="00916DCC">
        <w:rPr>
          <w:rFonts w:ascii="Times New Roman" w:eastAsia="Calibri" w:hAnsi="Times New Roman" w:cs="Times New Roman"/>
          <w:sz w:val="24"/>
          <w:szCs w:val="24"/>
        </w:rPr>
        <w:t>across</w:t>
      </w:r>
      <w:proofErr w:type="gramEnd"/>
      <w:r w:rsidRPr="00916DCC">
        <w:rPr>
          <w:rFonts w:ascii="Times New Roman" w:eastAsia="Calibri" w:hAnsi="Times New Roman" w:cs="Times New Roman"/>
          <w:sz w:val="24"/>
          <w:szCs w:val="24"/>
        </w:rPr>
        <w:t xml:space="preserve"> time and space. This makes this colonial archive invaluable as a resource for grappling with the methodologies and procedures of making theory, especially in our current historical moment where we are debating the enterprise </w:t>
      </w:r>
      <w:proofErr w:type="gramStart"/>
      <w:r w:rsidRPr="00916DCC">
        <w:rPr>
          <w:rFonts w:ascii="Times New Roman" w:eastAsia="Calibri" w:hAnsi="Times New Roman" w:cs="Times New Roman"/>
          <w:sz w:val="24"/>
          <w:szCs w:val="24"/>
        </w:rPr>
        <w:t>of  making</w:t>
      </w:r>
      <w:proofErr w:type="gramEnd"/>
      <w:r w:rsidRPr="00916DCC">
        <w:rPr>
          <w:rFonts w:ascii="Times New Roman" w:eastAsia="Calibri" w:hAnsi="Times New Roman" w:cs="Times New Roman"/>
          <w:sz w:val="24"/>
          <w:szCs w:val="24"/>
        </w:rPr>
        <w:t xml:space="preserve"> 'theory from the South'. </w:t>
      </w:r>
    </w:p>
    <w:p w14:paraId="1B91CE78" w14:textId="77777777" w:rsidR="00A2275A" w:rsidRPr="00916DCC" w:rsidRDefault="00A2275A" w:rsidP="00A2275A">
      <w:pPr>
        <w:rPr>
          <w:rFonts w:ascii="Times New Roman" w:eastAsia="Times New Roman" w:hAnsi="Times New Roman" w:cs="Times New Roman"/>
          <w:sz w:val="24"/>
          <w:szCs w:val="24"/>
        </w:rPr>
      </w:pPr>
    </w:p>
    <w:p w14:paraId="0FA57A34" w14:textId="77777777" w:rsidR="00A2275A" w:rsidRPr="00630B98" w:rsidRDefault="00A2275A" w:rsidP="00A2275A">
      <w:pPr>
        <w:rPr>
          <w:rFonts w:ascii="Times New Roman" w:hAnsi="Times New Roman" w:cs="Times New Roman"/>
          <w:b/>
          <w:bCs/>
          <w:sz w:val="24"/>
          <w:szCs w:val="24"/>
        </w:rPr>
      </w:pPr>
      <w:r w:rsidRPr="00630B98">
        <w:rPr>
          <w:rFonts w:ascii="Times New Roman" w:hAnsi="Times New Roman" w:cs="Times New Roman"/>
          <w:b/>
          <w:bCs/>
          <w:sz w:val="24"/>
          <w:szCs w:val="24"/>
        </w:rPr>
        <w:t>Convening Differently</w:t>
      </w:r>
    </w:p>
    <w:p w14:paraId="052ADD42" w14:textId="77777777" w:rsidR="00A2275A" w:rsidRDefault="00A2275A" w:rsidP="00A2275A">
      <w:pPr>
        <w:rPr>
          <w:rFonts w:ascii="Times New Roman" w:hAnsi="Times New Roman" w:cs="Times New Roman"/>
          <w:sz w:val="24"/>
          <w:szCs w:val="24"/>
        </w:rPr>
      </w:pPr>
    </w:p>
    <w:p w14:paraId="5A4DC9D9" w14:textId="46494D64" w:rsidR="00A2275A" w:rsidRPr="00A2275A" w:rsidRDefault="00A2275A" w:rsidP="00A2275A">
      <w:pPr>
        <w:rPr>
          <w:rFonts w:ascii="Times New Roman" w:hAnsi="Times New Roman" w:cs="Times New Roman"/>
          <w:i/>
          <w:iCs/>
          <w:sz w:val="24"/>
          <w:szCs w:val="24"/>
        </w:rPr>
      </w:pPr>
      <w:r w:rsidRPr="00A2275A">
        <w:rPr>
          <w:rFonts w:ascii="Times New Roman" w:hAnsi="Times New Roman" w:cs="Times New Roman"/>
          <w:i/>
          <w:iCs/>
          <w:sz w:val="24"/>
          <w:szCs w:val="24"/>
        </w:rPr>
        <w:t>Carolyn Hamilton</w:t>
      </w:r>
    </w:p>
    <w:p w14:paraId="75456312" w14:textId="77777777" w:rsidR="00A2275A" w:rsidRPr="00630B98" w:rsidRDefault="00A2275A" w:rsidP="00A2275A">
      <w:pPr>
        <w:rPr>
          <w:rFonts w:ascii="Times New Roman" w:hAnsi="Times New Roman" w:cs="Times New Roman"/>
          <w:sz w:val="24"/>
          <w:szCs w:val="24"/>
        </w:rPr>
      </w:pPr>
    </w:p>
    <w:p w14:paraId="01F69032" w14:textId="77777777" w:rsidR="00A2275A" w:rsidRDefault="00A2275A" w:rsidP="00A2275A">
      <w:pPr>
        <w:rPr>
          <w:rFonts w:ascii="Times New Roman" w:hAnsi="Times New Roman" w:cs="Times New Roman"/>
          <w:sz w:val="24"/>
          <w:szCs w:val="24"/>
        </w:rPr>
      </w:pPr>
      <w:r w:rsidRPr="00630B98">
        <w:rPr>
          <w:rFonts w:ascii="Times New Roman" w:hAnsi="Times New Roman" w:cs="Times New Roman"/>
          <w:sz w:val="24"/>
          <w:szCs w:val="24"/>
        </w:rPr>
        <w:t xml:space="preserve">The colonial construction and ordering of knowledge saw the accumulation of large bodies of material relating to the southern African past and its categorization, </w:t>
      </w:r>
      <w:proofErr w:type="gramStart"/>
      <w:r w:rsidRPr="00630B98">
        <w:rPr>
          <w:rFonts w:ascii="Times New Roman" w:hAnsi="Times New Roman" w:cs="Times New Roman"/>
          <w:sz w:val="24"/>
          <w:szCs w:val="24"/>
        </w:rPr>
        <w:t>arrangement</w:t>
      </w:r>
      <w:proofErr w:type="gramEnd"/>
      <w:r w:rsidRPr="00630B98">
        <w:rPr>
          <w:rFonts w:ascii="Times New Roman" w:hAnsi="Times New Roman" w:cs="Times New Roman"/>
          <w:sz w:val="24"/>
          <w:szCs w:val="24"/>
        </w:rPr>
        <w:t xml:space="preserve"> and institutional organization in particular ways. Colonial choices about what to collect, and how to categorize, arrange and organize have given definitional shape to the accumulated materials, constituting them as certain kinds of things rather than as other kinds of things. Over the last decade, the Five Hundred Year Archive has pursued a series of experimental strategies designed to unsettle, and refigure, this inheritance. The paper discusses one of these experimental strategies, made possible through digital affordances, that of convening the accumulated material differently. One form this takes is the instantiation in one place of a searchable, </w:t>
      </w:r>
      <w:proofErr w:type="gramStart"/>
      <w:r w:rsidRPr="00630B98">
        <w:rPr>
          <w:rFonts w:ascii="Times New Roman" w:hAnsi="Times New Roman" w:cs="Times New Roman"/>
          <w:sz w:val="24"/>
          <w:szCs w:val="24"/>
        </w:rPr>
        <w:t>datable</w:t>
      </w:r>
      <w:proofErr w:type="gramEnd"/>
      <w:r w:rsidRPr="00630B98">
        <w:rPr>
          <w:rFonts w:ascii="Times New Roman" w:hAnsi="Times New Roman" w:cs="Times New Roman"/>
          <w:sz w:val="24"/>
          <w:szCs w:val="24"/>
        </w:rPr>
        <w:t xml:space="preserve"> and </w:t>
      </w:r>
      <w:proofErr w:type="spellStart"/>
      <w:r w:rsidRPr="00630B98">
        <w:rPr>
          <w:rFonts w:ascii="Times New Roman" w:hAnsi="Times New Roman" w:cs="Times New Roman"/>
          <w:sz w:val="24"/>
          <w:szCs w:val="24"/>
        </w:rPr>
        <w:t>provenanceable</w:t>
      </w:r>
      <w:proofErr w:type="spellEnd"/>
      <w:r w:rsidRPr="00630B98">
        <w:rPr>
          <w:rFonts w:ascii="Times New Roman" w:hAnsi="Times New Roman" w:cs="Times New Roman"/>
          <w:sz w:val="24"/>
          <w:szCs w:val="24"/>
        </w:rPr>
        <w:t xml:space="preserve"> historical African language archive drawn from multiple places, in which language itself, </w:t>
      </w:r>
      <w:r w:rsidRPr="00630B98">
        <w:rPr>
          <w:rFonts w:ascii="Times New Roman" w:hAnsi="Times New Roman" w:cs="Times New Roman"/>
          <w:i/>
          <w:iCs/>
          <w:sz w:val="24"/>
          <w:szCs w:val="24"/>
        </w:rPr>
        <w:t>qua</w:t>
      </w:r>
      <w:r w:rsidRPr="00630B98">
        <w:rPr>
          <w:rFonts w:ascii="Times New Roman" w:hAnsi="Times New Roman" w:cs="Times New Roman"/>
          <w:sz w:val="24"/>
          <w:szCs w:val="24"/>
        </w:rPr>
        <w:t xml:space="preserve"> language, in addition to the matter which the language gives expression to, is the archive. The </w:t>
      </w:r>
      <w:r w:rsidRPr="00630B98">
        <w:rPr>
          <w:rFonts w:ascii="Times New Roman" w:hAnsi="Times New Roman" w:cs="Times New Roman"/>
          <w:sz w:val="24"/>
          <w:szCs w:val="24"/>
        </w:rPr>
        <w:lastRenderedPageBreak/>
        <w:t>contribution discusses experiments which convene other kinds of materials in a variety of new ways but always in association with the convened language archive, paying attention to how this combination affects the definitional shape and constitution of the materials. The paper thus both theorizes ‘convening’ and discusses its effects in action</w:t>
      </w:r>
      <w:r>
        <w:rPr>
          <w:rFonts w:ascii="Times New Roman" w:hAnsi="Times New Roman" w:cs="Times New Roman"/>
          <w:sz w:val="24"/>
          <w:szCs w:val="24"/>
        </w:rPr>
        <w:t>.</w:t>
      </w:r>
    </w:p>
    <w:p w14:paraId="43AA9D1F" w14:textId="77777777" w:rsidR="00A2275A" w:rsidRPr="00916DCC" w:rsidRDefault="00A2275A" w:rsidP="00A2275A">
      <w:pPr>
        <w:rPr>
          <w:rFonts w:ascii="Times New Roman" w:eastAsia="Times New Roman" w:hAnsi="Times New Roman" w:cs="Times New Roman"/>
          <w:sz w:val="24"/>
          <w:szCs w:val="24"/>
        </w:rPr>
      </w:pPr>
    </w:p>
    <w:p w14:paraId="3A4777BE" w14:textId="43011A18" w:rsidR="00A2275A" w:rsidRPr="00CB77F3" w:rsidRDefault="00A2275A" w:rsidP="00A2275A">
      <w:pPr>
        <w:pStyle w:val="xxx"/>
        <w:shd w:val="clear" w:color="auto" w:fill="FFFFFF"/>
        <w:rPr>
          <w:rFonts w:ascii="Times New Roman" w:hAnsi="Times New Roman" w:cs="Times New Roman"/>
          <w:b/>
          <w:bCs/>
          <w:color w:val="000000"/>
          <w:sz w:val="24"/>
          <w:szCs w:val="24"/>
        </w:rPr>
      </w:pPr>
      <w:r w:rsidRPr="00CB77F3">
        <w:rPr>
          <w:rStyle w:val="contentpasted1"/>
          <w:rFonts w:ascii="Times New Roman" w:hAnsi="Times New Roman" w:cs="Times New Roman"/>
          <w:b/>
          <w:bCs/>
          <w:color w:val="000000"/>
          <w:sz w:val="24"/>
          <w:szCs w:val="24"/>
          <w:bdr w:val="none" w:sz="0" w:space="0" w:color="auto" w:frame="1"/>
        </w:rPr>
        <w:t xml:space="preserve">There’s a bug in my media: insects, colonial archives and book </w:t>
      </w:r>
      <w:proofErr w:type="gramStart"/>
      <w:r w:rsidRPr="00CB77F3">
        <w:rPr>
          <w:rStyle w:val="contentpasted1"/>
          <w:rFonts w:ascii="Times New Roman" w:hAnsi="Times New Roman" w:cs="Times New Roman"/>
          <w:b/>
          <w:bCs/>
          <w:color w:val="000000"/>
          <w:sz w:val="24"/>
          <w:szCs w:val="24"/>
          <w:bdr w:val="none" w:sz="0" w:space="0" w:color="auto" w:frame="1"/>
        </w:rPr>
        <w:t>history</w:t>
      </w:r>
      <w:proofErr w:type="gramEnd"/>
    </w:p>
    <w:p w14:paraId="632EB814" w14:textId="77777777" w:rsidR="00A2275A" w:rsidRDefault="00A2275A" w:rsidP="00A2275A">
      <w:pPr>
        <w:pStyle w:val="xxx"/>
        <w:shd w:val="clear" w:color="auto" w:fill="FFFFFF"/>
        <w:rPr>
          <w:rFonts w:ascii="Times New Roman" w:hAnsi="Times New Roman" w:cs="Times New Roman"/>
          <w:color w:val="000000"/>
          <w:sz w:val="24"/>
          <w:szCs w:val="24"/>
        </w:rPr>
      </w:pPr>
    </w:p>
    <w:p w14:paraId="62C97549" w14:textId="5876DDFA" w:rsidR="00A2275A" w:rsidRPr="00A2275A" w:rsidRDefault="00A2275A" w:rsidP="00A2275A">
      <w:pPr>
        <w:pStyle w:val="xxx"/>
        <w:shd w:val="clear" w:color="auto" w:fill="FFFFFF"/>
        <w:rPr>
          <w:rFonts w:ascii="Times New Roman" w:hAnsi="Times New Roman" w:cs="Times New Roman"/>
          <w:i/>
          <w:iCs/>
          <w:color w:val="000000"/>
          <w:sz w:val="24"/>
          <w:szCs w:val="24"/>
        </w:rPr>
      </w:pPr>
      <w:r w:rsidRPr="00A2275A">
        <w:rPr>
          <w:rFonts w:ascii="Times New Roman" w:hAnsi="Times New Roman" w:cs="Times New Roman"/>
          <w:i/>
          <w:iCs/>
          <w:color w:val="000000"/>
          <w:sz w:val="24"/>
          <w:szCs w:val="24"/>
        </w:rPr>
        <w:t>Isabel Hofmeyr</w:t>
      </w:r>
    </w:p>
    <w:p w14:paraId="65A55360" w14:textId="77777777" w:rsidR="00A2275A" w:rsidRPr="00CB77F3" w:rsidRDefault="00A2275A" w:rsidP="00A2275A">
      <w:pPr>
        <w:pStyle w:val="xxx"/>
        <w:shd w:val="clear" w:color="auto" w:fill="FFFFFF"/>
        <w:rPr>
          <w:rFonts w:ascii="Times New Roman" w:hAnsi="Times New Roman" w:cs="Times New Roman"/>
          <w:color w:val="000000"/>
          <w:sz w:val="24"/>
          <w:szCs w:val="24"/>
        </w:rPr>
      </w:pPr>
    </w:p>
    <w:p w14:paraId="127C6C42" w14:textId="77777777" w:rsidR="00A2275A" w:rsidRDefault="00A2275A" w:rsidP="00A2275A">
      <w:pPr>
        <w:pStyle w:val="xmsonormal"/>
        <w:shd w:val="clear" w:color="auto" w:fill="FFFFFF"/>
        <w:rPr>
          <w:rFonts w:ascii="Times New Roman" w:hAnsi="Times New Roman" w:cs="Times New Roman"/>
          <w:color w:val="242424"/>
          <w:sz w:val="24"/>
          <w:szCs w:val="24"/>
        </w:rPr>
      </w:pPr>
      <w:r w:rsidRPr="00CB77F3">
        <w:rPr>
          <w:rStyle w:val="contentpasted1"/>
          <w:rFonts w:ascii="Times New Roman" w:hAnsi="Times New Roman" w:cs="Times New Roman"/>
          <w:color w:val="000000"/>
          <w:sz w:val="24"/>
          <w:szCs w:val="24"/>
          <w:bdr w:val="none" w:sz="0" w:space="0" w:color="auto" w:frame="1"/>
          <w:shd w:val="clear" w:color="auto" w:fill="FFFFFF"/>
        </w:rPr>
        <w:t>Traditionally a ‘dry’ discipline little concerned with ecocritical themes, book history has started to engage with environmental humanities in a more sustained way. This paper joins this trend by considering </w:t>
      </w:r>
      <w:r w:rsidRPr="00CB77F3">
        <w:rPr>
          <w:rStyle w:val="contentpasted1"/>
          <w:rFonts w:ascii="Times New Roman" w:hAnsi="Times New Roman" w:cs="Times New Roman"/>
          <w:color w:val="373C3D"/>
          <w:sz w:val="24"/>
          <w:szCs w:val="24"/>
          <w:bdr w:val="none" w:sz="0" w:space="0" w:color="auto" w:frame="1"/>
          <w:shd w:val="clear" w:color="auto" w:fill="FFFFFF"/>
        </w:rPr>
        <w:t>insects in colonial archives.  Starting with the insects themselves, the paper considers state responses of fumigation, and what this means for definitions of books and literary genres. Situated at the intersection </w:t>
      </w:r>
      <w:r w:rsidRPr="00CB77F3">
        <w:rPr>
          <w:rStyle w:val="contentpasted1"/>
          <w:rFonts w:ascii="Times New Roman" w:hAnsi="Times New Roman" w:cs="Times New Roman"/>
          <w:color w:val="000000"/>
          <w:sz w:val="24"/>
          <w:szCs w:val="24"/>
          <w:bdr w:val="none" w:sz="0" w:space="0" w:color="auto" w:frame="1"/>
          <w:shd w:val="clear" w:color="auto" w:fill="FFFFFF"/>
        </w:rPr>
        <w:t xml:space="preserve">of insect, paper and chemicals, the article raises larger questions of </w:t>
      </w:r>
      <w:proofErr w:type="spellStart"/>
      <w:r w:rsidRPr="00CB77F3">
        <w:rPr>
          <w:rStyle w:val="contentpasted1"/>
          <w:rFonts w:ascii="Times New Roman" w:hAnsi="Times New Roman" w:cs="Times New Roman"/>
          <w:color w:val="000000"/>
          <w:sz w:val="24"/>
          <w:szCs w:val="24"/>
          <w:bdr w:val="none" w:sz="0" w:space="0" w:color="auto" w:frame="1"/>
          <w:shd w:val="clear" w:color="auto" w:fill="FFFFFF"/>
        </w:rPr>
        <w:t>entomopolitics</w:t>
      </w:r>
      <w:proofErr w:type="spellEnd"/>
      <w:r w:rsidRPr="00CB77F3">
        <w:rPr>
          <w:rStyle w:val="contentpasted1"/>
          <w:rFonts w:ascii="Times New Roman" w:hAnsi="Times New Roman" w:cs="Times New Roman"/>
          <w:color w:val="000000"/>
          <w:sz w:val="24"/>
          <w:szCs w:val="24"/>
          <w:bdr w:val="none" w:sz="0" w:space="0" w:color="auto" w:frame="1"/>
          <w:shd w:val="clear" w:color="auto" w:fill="FFFFFF"/>
        </w:rPr>
        <w:t xml:space="preserve">, chemical legacies in museums and archives, and the intertwined histories of empire, war, </w:t>
      </w:r>
      <w:proofErr w:type="gramStart"/>
      <w:r w:rsidRPr="00CB77F3">
        <w:rPr>
          <w:rStyle w:val="contentpasted1"/>
          <w:rFonts w:ascii="Times New Roman" w:hAnsi="Times New Roman" w:cs="Times New Roman"/>
          <w:color w:val="000000"/>
          <w:sz w:val="24"/>
          <w:szCs w:val="24"/>
          <w:bdr w:val="none" w:sz="0" w:space="0" w:color="auto" w:frame="1"/>
          <w:shd w:val="clear" w:color="auto" w:fill="FFFFFF"/>
        </w:rPr>
        <w:t>insecticide</w:t>
      </w:r>
      <w:proofErr w:type="gramEnd"/>
      <w:r w:rsidRPr="00CB77F3">
        <w:rPr>
          <w:rStyle w:val="contentpasted1"/>
          <w:rFonts w:ascii="Times New Roman" w:hAnsi="Times New Roman" w:cs="Times New Roman"/>
          <w:color w:val="000000"/>
          <w:sz w:val="24"/>
          <w:szCs w:val="24"/>
          <w:bdr w:val="none" w:sz="0" w:space="0" w:color="auto" w:frame="1"/>
          <w:shd w:val="clear" w:color="auto" w:fill="FFFFFF"/>
        </w:rPr>
        <w:t xml:space="preserve"> and genocide</w:t>
      </w:r>
      <w:r>
        <w:rPr>
          <w:rStyle w:val="contentpasted1"/>
          <w:color w:val="000000"/>
          <w:sz w:val="24"/>
          <w:szCs w:val="24"/>
          <w:bdr w:val="none" w:sz="0" w:space="0" w:color="auto" w:frame="1"/>
          <w:shd w:val="clear" w:color="auto" w:fill="FFFFFF"/>
        </w:rPr>
        <w:t>.</w:t>
      </w:r>
      <w:r>
        <w:rPr>
          <w:rStyle w:val="contentpasted1"/>
          <w:color w:val="000000"/>
          <w:sz w:val="24"/>
          <w:szCs w:val="24"/>
          <w:bdr w:val="none" w:sz="0" w:space="0" w:color="auto" w:frame="1"/>
        </w:rPr>
        <w:t> </w:t>
      </w:r>
      <w:r>
        <w:rPr>
          <w:rFonts w:ascii="Times New Roman" w:hAnsi="Times New Roman" w:cs="Times New Roman"/>
          <w:color w:val="242424"/>
          <w:sz w:val="24"/>
          <w:szCs w:val="24"/>
        </w:rPr>
        <w:t> </w:t>
      </w:r>
    </w:p>
    <w:p w14:paraId="035A8BB4" w14:textId="4A51E669" w:rsidR="00A2275A" w:rsidRPr="00916DCC" w:rsidRDefault="00A2275A" w:rsidP="00A2275A">
      <w:pPr>
        <w:rPr>
          <w:rFonts w:ascii="Times New Roman" w:hAnsi="Times New Roman" w:cs="Times New Roman"/>
          <w:sz w:val="24"/>
          <w:szCs w:val="24"/>
        </w:rPr>
      </w:pPr>
    </w:p>
    <w:p w14:paraId="3462322B" w14:textId="77777777" w:rsidR="00271DC7" w:rsidRDefault="00271DC7" w:rsidP="00271DC7">
      <w:pPr>
        <w:rPr>
          <w:rFonts w:ascii="Times New Roman" w:hAnsi="Times New Roman" w:cs="Times New Roman"/>
          <w:sz w:val="24"/>
          <w:szCs w:val="24"/>
          <w:lang w:val="en-GB"/>
        </w:rPr>
      </w:pPr>
      <w:r>
        <w:rPr>
          <w:rFonts w:ascii="Times New Roman" w:hAnsi="Times New Roman" w:cs="Times New Roman"/>
          <w:b/>
          <w:bCs/>
          <w:sz w:val="24"/>
          <w:szCs w:val="24"/>
          <w:lang w:val="en-GB"/>
        </w:rPr>
        <w:t>On Legibility: What the Archive Wants from Us</w:t>
      </w:r>
    </w:p>
    <w:p w14:paraId="729FE72C" w14:textId="77777777" w:rsidR="00A2275A" w:rsidRDefault="00A2275A" w:rsidP="00271DC7">
      <w:pPr>
        <w:contextualSpacing/>
        <w:rPr>
          <w:rFonts w:ascii="Times New Roman" w:hAnsi="Times New Roman" w:cs="Times New Roman"/>
          <w:sz w:val="24"/>
          <w:szCs w:val="24"/>
          <w:lang w:val="en-GB"/>
        </w:rPr>
      </w:pPr>
    </w:p>
    <w:p w14:paraId="362B5C49" w14:textId="1258C590" w:rsidR="00271DC7" w:rsidRPr="00A2275A" w:rsidRDefault="00271DC7" w:rsidP="00271DC7">
      <w:pPr>
        <w:contextualSpacing/>
        <w:rPr>
          <w:rFonts w:ascii="Times New Roman" w:hAnsi="Times New Roman" w:cs="Times New Roman"/>
          <w:i/>
          <w:iCs/>
          <w:sz w:val="24"/>
          <w:szCs w:val="24"/>
          <w:lang w:val="en-GB"/>
        </w:rPr>
      </w:pPr>
      <w:r w:rsidRPr="00A2275A">
        <w:rPr>
          <w:rFonts w:ascii="Times New Roman" w:hAnsi="Times New Roman" w:cs="Times New Roman"/>
          <w:i/>
          <w:iCs/>
          <w:sz w:val="24"/>
          <w:szCs w:val="24"/>
          <w:lang w:val="en-GB"/>
        </w:rPr>
        <w:t>Stefan Helgesson</w:t>
      </w:r>
    </w:p>
    <w:p w14:paraId="284AE943" w14:textId="77777777" w:rsidR="00271DC7" w:rsidRDefault="00271DC7" w:rsidP="00271DC7">
      <w:pPr>
        <w:contextualSpacing/>
        <w:rPr>
          <w:rFonts w:ascii="Times New Roman" w:hAnsi="Times New Roman" w:cs="Times New Roman"/>
          <w:sz w:val="24"/>
          <w:szCs w:val="24"/>
          <w:lang w:val="en-GB"/>
        </w:rPr>
      </w:pPr>
    </w:p>
    <w:p w14:paraId="5CE372C6" w14:textId="77777777" w:rsidR="00271DC7" w:rsidRDefault="00271DC7" w:rsidP="00271DC7">
      <w:pPr>
        <w:rPr>
          <w:rFonts w:ascii="Times New Roman" w:hAnsi="Times New Roman" w:cs="Times New Roman"/>
          <w:sz w:val="24"/>
          <w:szCs w:val="24"/>
          <w:lang w:val="en-GB"/>
        </w:rPr>
      </w:pPr>
      <w:r>
        <w:rPr>
          <w:rFonts w:ascii="Times New Roman" w:hAnsi="Times New Roman" w:cs="Times New Roman"/>
          <w:sz w:val="24"/>
          <w:szCs w:val="24"/>
          <w:lang w:val="en-GB"/>
        </w:rPr>
        <w:t xml:space="preserve">Constructivist critiques of the archive – such as those formulated by Michel Foucault, Jacques Derrida, Edward Said, or Ann Laura Stoler – have taught us that archives are made rather than found, and that their making will coincide with vested interests. The “colonial library”, as a case in point, indicates an archive shaped not just in but </w:t>
      </w:r>
      <w:r>
        <w:rPr>
          <w:rFonts w:ascii="Times New Roman" w:hAnsi="Times New Roman" w:cs="Times New Roman"/>
          <w:i/>
          <w:iCs/>
          <w:sz w:val="24"/>
          <w:szCs w:val="24"/>
          <w:lang w:val="en-GB"/>
        </w:rPr>
        <w:t xml:space="preserve">by </w:t>
      </w:r>
      <w:r>
        <w:rPr>
          <w:rFonts w:ascii="Times New Roman" w:hAnsi="Times New Roman" w:cs="Times New Roman"/>
          <w:sz w:val="24"/>
          <w:szCs w:val="24"/>
          <w:lang w:val="en-GB"/>
        </w:rPr>
        <w:t xml:space="preserve">the era of colonialism to serve the interests of domination. Without denying the fundamental validity of such critiques, I wish to ask whether they themselves might not also be an expression of a will to power – a power, in this instance, over the past. Adopting instead from cultural memory studies the distinction between canon and archive (see Aleida Assmann), I will from a hermeneutic rather than constructivist standpoint </w:t>
      </w:r>
      <w:proofErr w:type="gramStart"/>
      <w:r>
        <w:rPr>
          <w:rFonts w:ascii="Times New Roman" w:hAnsi="Times New Roman" w:cs="Times New Roman"/>
          <w:sz w:val="24"/>
          <w:szCs w:val="24"/>
          <w:lang w:val="en-GB"/>
        </w:rPr>
        <w:t>emphasise</w:t>
      </w:r>
      <w:proofErr w:type="gramEnd"/>
      <w:r>
        <w:rPr>
          <w:rFonts w:ascii="Times New Roman" w:hAnsi="Times New Roman" w:cs="Times New Roman"/>
          <w:sz w:val="24"/>
          <w:szCs w:val="24"/>
          <w:lang w:val="en-GB"/>
        </w:rPr>
        <w:t xml:space="preserve"> the capacity of the archive (also, one would hope, in its digital incarnations) to surprise and confound us. In that way “it” – which is never a stable entity – can draw the researcher into new linguistic worlds and unanticipated domains of legibility.</w:t>
      </w:r>
    </w:p>
    <w:p w14:paraId="6A43E314" w14:textId="77777777" w:rsidR="00916829" w:rsidRDefault="00916829" w:rsidP="00271DC7">
      <w:pPr>
        <w:rPr>
          <w:rFonts w:ascii="Times New Roman" w:hAnsi="Times New Roman" w:cs="Times New Roman"/>
          <w:sz w:val="24"/>
          <w:szCs w:val="24"/>
          <w:lang w:val="en-GB"/>
        </w:rPr>
      </w:pPr>
    </w:p>
    <w:p w14:paraId="4121B860" w14:textId="77777777" w:rsidR="00A2275A" w:rsidRPr="00BB20DA" w:rsidRDefault="00A2275A" w:rsidP="00A2275A">
      <w:pPr>
        <w:jc w:val="both"/>
        <w:rPr>
          <w:rFonts w:asciiTheme="majorBidi" w:hAnsiTheme="majorBidi" w:cstheme="majorBidi"/>
          <w:b/>
          <w:bCs/>
          <w:sz w:val="24"/>
          <w:szCs w:val="24"/>
        </w:rPr>
      </w:pPr>
      <w:proofErr w:type="spellStart"/>
      <w:r w:rsidRPr="00BB20DA">
        <w:rPr>
          <w:rFonts w:asciiTheme="majorBidi" w:hAnsiTheme="majorBidi" w:cstheme="majorBidi"/>
          <w:b/>
          <w:bCs/>
          <w:sz w:val="24"/>
          <w:szCs w:val="24"/>
        </w:rPr>
        <w:t>Digitising</w:t>
      </w:r>
      <w:proofErr w:type="spellEnd"/>
      <w:r w:rsidRPr="00BB20DA">
        <w:rPr>
          <w:rFonts w:asciiTheme="majorBidi" w:hAnsiTheme="majorBidi" w:cstheme="majorBidi"/>
          <w:b/>
          <w:bCs/>
          <w:sz w:val="24"/>
          <w:szCs w:val="24"/>
        </w:rPr>
        <w:t xml:space="preserve"> differently: The world of difference in spaces of the visually impaired</w:t>
      </w:r>
    </w:p>
    <w:p w14:paraId="45AB0B20" w14:textId="77777777" w:rsidR="00A2275A" w:rsidRDefault="00A2275A" w:rsidP="00A2275A">
      <w:pPr>
        <w:jc w:val="both"/>
        <w:rPr>
          <w:rFonts w:asciiTheme="majorBidi" w:hAnsiTheme="majorBidi" w:cstheme="majorBidi"/>
          <w:b/>
          <w:bCs/>
          <w:sz w:val="24"/>
          <w:szCs w:val="24"/>
        </w:rPr>
      </w:pPr>
      <w:r w:rsidRPr="00BB20DA">
        <w:rPr>
          <w:rFonts w:asciiTheme="majorBidi" w:hAnsiTheme="majorBidi" w:cstheme="majorBidi"/>
          <w:b/>
          <w:bCs/>
          <w:sz w:val="24"/>
          <w:szCs w:val="24"/>
        </w:rPr>
        <w:t>Rubric</w:t>
      </w:r>
    </w:p>
    <w:p w14:paraId="3DE850A2" w14:textId="77777777" w:rsidR="00A2275A" w:rsidRDefault="00A2275A" w:rsidP="00A2275A">
      <w:pPr>
        <w:jc w:val="both"/>
        <w:rPr>
          <w:rFonts w:asciiTheme="majorBidi" w:hAnsiTheme="majorBidi" w:cstheme="majorBidi"/>
          <w:b/>
          <w:bCs/>
          <w:sz w:val="24"/>
          <w:szCs w:val="24"/>
        </w:rPr>
      </w:pPr>
    </w:p>
    <w:p w14:paraId="4DD692B5" w14:textId="77777777" w:rsidR="00A2275A" w:rsidRPr="00A2275A" w:rsidRDefault="00A2275A" w:rsidP="00A2275A">
      <w:pPr>
        <w:jc w:val="both"/>
        <w:rPr>
          <w:rFonts w:asciiTheme="majorBidi" w:hAnsiTheme="majorBidi" w:cstheme="majorBidi"/>
          <w:i/>
          <w:iCs/>
          <w:sz w:val="24"/>
          <w:szCs w:val="24"/>
        </w:rPr>
      </w:pPr>
      <w:r w:rsidRPr="00A2275A">
        <w:rPr>
          <w:rFonts w:asciiTheme="majorBidi" w:hAnsiTheme="majorBidi" w:cstheme="majorBidi"/>
          <w:i/>
          <w:iCs/>
          <w:sz w:val="24"/>
          <w:szCs w:val="24"/>
        </w:rPr>
        <w:t xml:space="preserve">Innocentia </w:t>
      </w:r>
      <w:proofErr w:type="spellStart"/>
      <w:r w:rsidRPr="00A2275A">
        <w:rPr>
          <w:rFonts w:asciiTheme="majorBidi" w:hAnsiTheme="majorBidi" w:cstheme="majorBidi"/>
          <w:i/>
          <w:iCs/>
          <w:sz w:val="24"/>
          <w:szCs w:val="24"/>
        </w:rPr>
        <w:t>Mhlambi</w:t>
      </w:r>
      <w:proofErr w:type="spellEnd"/>
    </w:p>
    <w:p w14:paraId="3BC6F98E" w14:textId="77777777" w:rsidR="00A2275A" w:rsidRDefault="00A2275A" w:rsidP="00A2275A">
      <w:pPr>
        <w:jc w:val="both"/>
        <w:rPr>
          <w:rFonts w:asciiTheme="majorBidi" w:hAnsiTheme="majorBidi" w:cstheme="majorBidi"/>
          <w:sz w:val="24"/>
          <w:szCs w:val="24"/>
        </w:rPr>
      </w:pPr>
    </w:p>
    <w:p w14:paraId="5B608138" w14:textId="77777777" w:rsidR="00A2275A" w:rsidRDefault="00A2275A" w:rsidP="00A2275A">
      <w:pPr>
        <w:jc w:val="both"/>
      </w:pPr>
      <w:proofErr w:type="gramStart"/>
      <w:r>
        <w:rPr>
          <w:rFonts w:asciiTheme="majorBidi" w:hAnsiTheme="majorBidi" w:cstheme="majorBidi"/>
          <w:sz w:val="24"/>
          <w:szCs w:val="24"/>
        </w:rPr>
        <w:t>Of recent</w:t>
      </w:r>
      <w:proofErr w:type="gramEnd"/>
      <w:r>
        <w:rPr>
          <w:rFonts w:asciiTheme="majorBidi" w:hAnsiTheme="majorBidi" w:cstheme="majorBidi"/>
          <w:sz w:val="24"/>
          <w:szCs w:val="24"/>
        </w:rPr>
        <w:t xml:space="preserve">, I have been challenged in one of my classes, I encountered for the first time in my teaching career at university, a visually impaired student in my film class. This experience opened my mind to </w:t>
      </w:r>
      <w:proofErr w:type="gramStart"/>
      <w:r>
        <w:rPr>
          <w:rFonts w:asciiTheme="majorBidi" w:hAnsiTheme="majorBidi" w:cstheme="majorBidi"/>
          <w:sz w:val="24"/>
          <w:szCs w:val="24"/>
        </w:rPr>
        <w:t>a number of</w:t>
      </w:r>
      <w:proofErr w:type="gramEnd"/>
      <w:r>
        <w:rPr>
          <w:rFonts w:asciiTheme="majorBidi" w:hAnsiTheme="majorBidi" w:cstheme="majorBidi"/>
          <w:sz w:val="24"/>
          <w:szCs w:val="24"/>
        </w:rPr>
        <w:t xml:space="preserve"> life aspects that we normatively take for granted but which in themselves are unjust and non-inclusive.  Then, a chance opportunity to work with </w:t>
      </w:r>
      <w:proofErr w:type="spellStart"/>
      <w:r>
        <w:rPr>
          <w:rFonts w:asciiTheme="majorBidi" w:hAnsiTheme="majorBidi" w:cstheme="majorBidi"/>
          <w:sz w:val="24"/>
          <w:szCs w:val="24"/>
        </w:rPr>
        <w:t>BlindSA</w:t>
      </w:r>
      <w:proofErr w:type="spellEnd"/>
      <w:r>
        <w:rPr>
          <w:rFonts w:asciiTheme="majorBidi" w:hAnsiTheme="majorBidi" w:cstheme="majorBidi"/>
          <w:sz w:val="24"/>
          <w:szCs w:val="24"/>
        </w:rPr>
        <w:t xml:space="preserve"> threw me into the world of the visually impaired, which allowed me an opportunity to engage with interventions allowed by the technological advancements and so challenged me to think critically about the visual world’s access technologies. Arguably dominant groups often engage minority groups as an after-thought, often times as a gesture for being </w:t>
      </w:r>
      <w:proofErr w:type="gramStart"/>
      <w:r>
        <w:rPr>
          <w:rFonts w:asciiTheme="majorBidi" w:hAnsiTheme="majorBidi" w:cstheme="majorBidi"/>
          <w:sz w:val="24"/>
          <w:szCs w:val="24"/>
        </w:rPr>
        <w:t>political</w:t>
      </w:r>
      <w:proofErr w:type="gramEnd"/>
      <w:r>
        <w:rPr>
          <w:rFonts w:asciiTheme="majorBidi" w:hAnsiTheme="majorBidi" w:cstheme="majorBidi"/>
          <w:sz w:val="24"/>
          <w:szCs w:val="24"/>
        </w:rPr>
        <w:t xml:space="preserve"> correct instead of using such encounters </w:t>
      </w:r>
      <w:r>
        <w:rPr>
          <w:rFonts w:asciiTheme="majorBidi" w:hAnsiTheme="majorBidi" w:cstheme="majorBidi"/>
          <w:sz w:val="24"/>
          <w:szCs w:val="24"/>
        </w:rPr>
        <w:lastRenderedPageBreak/>
        <w:t xml:space="preserve">as moments to pause, reflect and change the cause of development for true </w:t>
      </w:r>
      <w:proofErr w:type="spellStart"/>
      <w:r>
        <w:rPr>
          <w:rFonts w:asciiTheme="majorBidi" w:hAnsiTheme="majorBidi" w:cstheme="majorBidi"/>
          <w:sz w:val="24"/>
          <w:szCs w:val="24"/>
        </w:rPr>
        <w:t>democratisation</w:t>
      </w:r>
      <w:proofErr w:type="spellEnd"/>
      <w:r>
        <w:rPr>
          <w:rFonts w:asciiTheme="majorBidi" w:hAnsiTheme="majorBidi" w:cstheme="majorBidi"/>
          <w:sz w:val="24"/>
          <w:szCs w:val="24"/>
        </w:rPr>
        <w:t xml:space="preserve"> of intellectual spaces we inhabit, and enable alternative forms of generating knowledge. My collaboration with </w:t>
      </w:r>
      <w:proofErr w:type="spellStart"/>
      <w:r>
        <w:rPr>
          <w:rFonts w:asciiTheme="majorBidi" w:hAnsiTheme="majorBidi" w:cstheme="majorBidi"/>
          <w:sz w:val="24"/>
          <w:szCs w:val="24"/>
        </w:rPr>
        <w:t>BlindSA</w:t>
      </w:r>
      <w:proofErr w:type="spellEnd"/>
      <w:r>
        <w:rPr>
          <w:rFonts w:asciiTheme="majorBidi" w:hAnsiTheme="majorBidi" w:cstheme="majorBidi"/>
          <w:sz w:val="24"/>
          <w:szCs w:val="24"/>
        </w:rPr>
        <w:t xml:space="preserve"> wherein the request to have a Speech </w:t>
      </w:r>
      <w:proofErr w:type="gramStart"/>
      <w:r>
        <w:rPr>
          <w:rFonts w:asciiTheme="majorBidi" w:hAnsiTheme="majorBidi" w:cstheme="majorBidi"/>
          <w:sz w:val="24"/>
          <w:szCs w:val="24"/>
        </w:rPr>
        <w:t>To</w:t>
      </w:r>
      <w:proofErr w:type="gramEnd"/>
      <w:r>
        <w:rPr>
          <w:rFonts w:asciiTheme="majorBidi" w:hAnsiTheme="majorBidi" w:cstheme="majorBidi"/>
          <w:sz w:val="24"/>
          <w:szCs w:val="24"/>
        </w:rPr>
        <w:t xml:space="preserve"> Text application, with a software constructed by a visually impaired developer turned my world upside down. Together with my team, we had to engaged on numerous levels of knowledge production, using as it were, spaces that shuttle between two worlds; that of what we have </w:t>
      </w:r>
      <w:proofErr w:type="spellStart"/>
      <w:r>
        <w:rPr>
          <w:rFonts w:asciiTheme="majorBidi" w:hAnsiTheme="majorBidi" w:cstheme="majorBidi"/>
          <w:sz w:val="24"/>
          <w:szCs w:val="24"/>
        </w:rPr>
        <w:t>normalised</w:t>
      </w:r>
      <w:proofErr w:type="spellEnd"/>
      <w:r>
        <w:rPr>
          <w:rFonts w:asciiTheme="majorBidi" w:hAnsiTheme="majorBidi" w:cstheme="majorBidi"/>
          <w:sz w:val="24"/>
          <w:szCs w:val="24"/>
        </w:rPr>
        <w:t xml:space="preserve"> as spaces of the written code, the seeing, the literate, and those we have dubbed as blind/visually impaired, excluded, constricted access to literate spaces and so on. This project made me to ask bigger questions about how to intervene in the </w:t>
      </w:r>
      <w:proofErr w:type="spellStart"/>
      <w:r>
        <w:rPr>
          <w:rFonts w:asciiTheme="majorBidi" w:hAnsiTheme="majorBidi" w:cstheme="majorBidi"/>
          <w:sz w:val="24"/>
          <w:szCs w:val="24"/>
        </w:rPr>
        <w:t>digitilisation</w:t>
      </w:r>
      <w:proofErr w:type="spellEnd"/>
      <w:r>
        <w:rPr>
          <w:rFonts w:asciiTheme="majorBidi" w:hAnsiTheme="majorBidi" w:cstheme="majorBidi"/>
          <w:sz w:val="24"/>
          <w:szCs w:val="24"/>
        </w:rPr>
        <w:t xml:space="preserve"> project, which almost </w:t>
      </w:r>
      <w:proofErr w:type="spellStart"/>
      <w:r>
        <w:rPr>
          <w:rFonts w:asciiTheme="majorBidi" w:hAnsiTheme="majorBidi" w:cstheme="majorBidi"/>
          <w:sz w:val="24"/>
          <w:szCs w:val="24"/>
        </w:rPr>
        <w:t>emphasise</w:t>
      </w:r>
      <w:proofErr w:type="spellEnd"/>
      <w:r>
        <w:rPr>
          <w:rFonts w:asciiTheme="majorBidi" w:hAnsiTheme="majorBidi" w:cstheme="majorBidi"/>
          <w:sz w:val="24"/>
          <w:szCs w:val="24"/>
        </w:rPr>
        <w:t xml:space="preserve"> the world of the seeing, perpetuating the very limitations of the written world as opposed to the aural world with its infinite possibilities for innovation, problem solving and social justice.</w:t>
      </w:r>
      <w:r>
        <w:t xml:space="preserve">  </w:t>
      </w:r>
    </w:p>
    <w:p w14:paraId="204A29DF" w14:textId="77777777" w:rsidR="00A2275A" w:rsidRDefault="00A2275A" w:rsidP="00A2275A">
      <w:pPr>
        <w:jc w:val="both"/>
      </w:pPr>
    </w:p>
    <w:p w14:paraId="5B615C60" w14:textId="77777777" w:rsidR="00A2275A" w:rsidRDefault="00A2275A" w:rsidP="00271DC7">
      <w:pPr>
        <w:rPr>
          <w:rFonts w:ascii="Times New Roman" w:hAnsi="Times New Roman" w:cs="Times New Roman"/>
          <w:sz w:val="24"/>
          <w:szCs w:val="24"/>
          <w:lang w:val="en-GB"/>
        </w:rPr>
      </w:pPr>
    </w:p>
    <w:p w14:paraId="5A478F2D" w14:textId="77777777" w:rsidR="00630B98" w:rsidRPr="00CB77F3" w:rsidRDefault="00916829" w:rsidP="00916829">
      <w:pPr>
        <w:rPr>
          <w:rFonts w:ascii="Times New Roman" w:hAnsi="Times New Roman" w:cs="Times New Roman"/>
          <w:b/>
          <w:bCs/>
          <w:sz w:val="24"/>
          <w:szCs w:val="24"/>
        </w:rPr>
      </w:pPr>
      <w:r w:rsidRPr="00CB77F3">
        <w:rPr>
          <w:rFonts w:ascii="Times New Roman" w:hAnsi="Times New Roman" w:cs="Times New Roman"/>
          <w:b/>
          <w:bCs/>
          <w:sz w:val="24"/>
          <w:szCs w:val="24"/>
        </w:rPr>
        <w:t>African Literary Metadata and the Semantic Web</w:t>
      </w:r>
    </w:p>
    <w:p w14:paraId="487ECC1C" w14:textId="77777777" w:rsidR="00A2275A" w:rsidRDefault="00A2275A" w:rsidP="00916829">
      <w:pPr>
        <w:rPr>
          <w:rFonts w:ascii="Times New Roman" w:hAnsi="Times New Roman" w:cs="Times New Roman"/>
          <w:sz w:val="24"/>
          <w:szCs w:val="24"/>
        </w:rPr>
      </w:pPr>
    </w:p>
    <w:p w14:paraId="1D8BC494" w14:textId="146A2E4C" w:rsidR="00916829" w:rsidRPr="00A2275A" w:rsidRDefault="00630B98" w:rsidP="00916829">
      <w:pPr>
        <w:rPr>
          <w:rFonts w:ascii="Times New Roman" w:hAnsi="Times New Roman" w:cs="Times New Roman"/>
          <w:i/>
          <w:iCs/>
          <w:sz w:val="24"/>
          <w:szCs w:val="24"/>
        </w:rPr>
      </w:pPr>
      <w:r w:rsidRPr="00A2275A">
        <w:rPr>
          <w:rFonts w:ascii="Times New Roman" w:hAnsi="Times New Roman" w:cs="Times New Roman"/>
          <w:i/>
          <w:iCs/>
          <w:sz w:val="24"/>
          <w:szCs w:val="24"/>
        </w:rPr>
        <w:t>Ashleigh Harris</w:t>
      </w:r>
      <w:r w:rsidR="00916829" w:rsidRPr="00A2275A">
        <w:rPr>
          <w:rFonts w:ascii="Times New Roman" w:hAnsi="Times New Roman" w:cs="Times New Roman"/>
          <w:i/>
          <w:iCs/>
          <w:sz w:val="24"/>
          <w:szCs w:val="24"/>
        </w:rPr>
        <w:t xml:space="preserve"> </w:t>
      </w:r>
    </w:p>
    <w:p w14:paraId="2ACA9CA0" w14:textId="77777777" w:rsidR="00916829" w:rsidRPr="00CB77F3" w:rsidRDefault="00916829" w:rsidP="00916829">
      <w:pPr>
        <w:rPr>
          <w:rFonts w:ascii="Times New Roman" w:hAnsi="Times New Roman" w:cs="Times New Roman"/>
          <w:sz w:val="24"/>
          <w:szCs w:val="24"/>
        </w:rPr>
      </w:pPr>
    </w:p>
    <w:p w14:paraId="1601329E" w14:textId="43C2FF58" w:rsidR="00916829" w:rsidRPr="00CB77F3" w:rsidRDefault="00916829" w:rsidP="00916829">
      <w:pPr>
        <w:rPr>
          <w:rFonts w:ascii="Times New Roman" w:hAnsi="Times New Roman" w:cs="Times New Roman"/>
          <w:sz w:val="24"/>
          <w:szCs w:val="24"/>
        </w:rPr>
      </w:pPr>
      <w:r w:rsidRPr="00CB77F3">
        <w:rPr>
          <w:rFonts w:ascii="Times New Roman" w:hAnsi="Times New Roman" w:cs="Times New Roman"/>
          <w:sz w:val="24"/>
          <w:szCs w:val="24"/>
        </w:rPr>
        <w:t xml:space="preserve">In an era of big data studies, the politics and limitations of data, their architecture and their historical antecedents require thorough analysis if we are to take seriously calls to decolonize the archive. </w:t>
      </w:r>
    </w:p>
    <w:p w14:paraId="46FF8A80" w14:textId="77777777" w:rsidR="00916829" w:rsidRPr="00CB77F3" w:rsidRDefault="00916829" w:rsidP="00916829">
      <w:pPr>
        <w:rPr>
          <w:rFonts w:ascii="Times New Roman" w:hAnsi="Times New Roman" w:cs="Times New Roman"/>
          <w:sz w:val="24"/>
          <w:szCs w:val="24"/>
        </w:rPr>
      </w:pPr>
      <w:r w:rsidRPr="00CB77F3">
        <w:rPr>
          <w:rFonts w:ascii="Times New Roman" w:hAnsi="Times New Roman" w:cs="Times New Roman"/>
          <w:sz w:val="24"/>
          <w:szCs w:val="24"/>
        </w:rPr>
        <w:t xml:space="preserve">This presentation outlines how the African Literary Metadata project approaches this matter. The project aims to investigate the legacies of colonial bibliographic metadata (from libraries, </w:t>
      </w:r>
      <w:proofErr w:type="gramStart"/>
      <w:r w:rsidRPr="00CB77F3">
        <w:rPr>
          <w:rFonts w:ascii="Times New Roman" w:hAnsi="Times New Roman" w:cs="Times New Roman"/>
          <w:sz w:val="24"/>
          <w:szCs w:val="24"/>
        </w:rPr>
        <w:t>archives</w:t>
      </w:r>
      <w:proofErr w:type="gramEnd"/>
      <w:r w:rsidRPr="00CB77F3">
        <w:rPr>
          <w:rFonts w:ascii="Times New Roman" w:hAnsi="Times New Roman" w:cs="Times New Roman"/>
          <w:sz w:val="24"/>
          <w:szCs w:val="24"/>
        </w:rPr>
        <w:t xml:space="preserve"> and the book trade) on the field of African Literature. It then aims to rethink the inherited metadata architectures that have tethered the idea of the literary object to the monographic book as opposed to other literary forms, such as oral and performed literatures. The project aims to </w:t>
      </w:r>
      <w:proofErr w:type="gramStart"/>
      <w:r w:rsidRPr="00CB77F3">
        <w:rPr>
          <w:rFonts w:ascii="Times New Roman" w:hAnsi="Times New Roman" w:cs="Times New Roman"/>
          <w:sz w:val="24"/>
          <w:szCs w:val="24"/>
        </w:rPr>
        <w:t>make a contribution</w:t>
      </w:r>
      <w:proofErr w:type="gramEnd"/>
      <w:r w:rsidRPr="00CB77F3">
        <w:rPr>
          <w:rFonts w:ascii="Times New Roman" w:hAnsi="Times New Roman" w:cs="Times New Roman"/>
          <w:sz w:val="24"/>
          <w:szCs w:val="24"/>
        </w:rPr>
        <w:t xml:space="preserve"> to the future African literary archive by using semantic web technology to repeal the colonial legacies of the book in the metadata we attach to literary objects. </w:t>
      </w:r>
    </w:p>
    <w:p w14:paraId="547125B1" w14:textId="77777777" w:rsidR="00916829" w:rsidRPr="00CB77F3" w:rsidRDefault="00916829" w:rsidP="00916829">
      <w:pPr>
        <w:rPr>
          <w:rFonts w:ascii="Times New Roman" w:hAnsi="Times New Roman" w:cs="Times New Roman"/>
          <w:sz w:val="24"/>
          <w:szCs w:val="24"/>
        </w:rPr>
      </w:pPr>
      <w:r w:rsidRPr="00CB77F3">
        <w:rPr>
          <w:rFonts w:ascii="Times New Roman" w:hAnsi="Times New Roman" w:cs="Times New Roman"/>
          <w:i/>
          <w:iCs/>
          <w:sz w:val="24"/>
          <w:szCs w:val="24"/>
        </w:rPr>
        <w:t xml:space="preserve">ALMEDA (African Literary Metadata) has received funding from the European Research Council (ERC) under the European Union’s Horizon Europe research and innovation </w:t>
      </w:r>
      <w:proofErr w:type="spellStart"/>
      <w:r w:rsidRPr="00CB77F3">
        <w:rPr>
          <w:rFonts w:ascii="Times New Roman" w:hAnsi="Times New Roman" w:cs="Times New Roman"/>
          <w:i/>
          <w:iCs/>
          <w:sz w:val="24"/>
          <w:szCs w:val="24"/>
        </w:rPr>
        <w:t>programme</w:t>
      </w:r>
      <w:proofErr w:type="spellEnd"/>
      <w:r w:rsidRPr="00CB77F3">
        <w:rPr>
          <w:rFonts w:ascii="Times New Roman" w:hAnsi="Times New Roman" w:cs="Times New Roman"/>
          <w:i/>
          <w:iCs/>
          <w:sz w:val="24"/>
          <w:szCs w:val="24"/>
        </w:rPr>
        <w:t>. Grant agreement No: 101097763.</w:t>
      </w:r>
    </w:p>
    <w:p w14:paraId="13BFE54C" w14:textId="77777777" w:rsidR="00916829" w:rsidRPr="00CB77F3" w:rsidRDefault="00916829" w:rsidP="00916829">
      <w:pPr>
        <w:rPr>
          <w:rFonts w:ascii="Times New Roman" w:hAnsi="Times New Roman" w:cs="Times New Roman"/>
          <w:sz w:val="24"/>
          <w:szCs w:val="24"/>
        </w:rPr>
      </w:pPr>
    </w:p>
    <w:p w14:paraId="798F5404" w14:textId="77777777" w:rsidR="00916829" w:rsidRPr="00CB77F3" w:rsidRDefault="00916829" w:rsidP="00271DC7">
      <w:pPr>
        <w:rPr>
          <w:rFonts w:ascii="Times New Roman" w:hAnsi="Times New Roman" w:cs="Times New Roman"/>
          <w:sz w:val="24"/>
          <w:szCs w:val="24"/>
          <w:lang w:val="en-GB"/>
        </w:rPr>
      </w:pPr>
    </w:p>
    <w:p w14:paraId="36A37092" w14:textId="77777777" w:rsidR="00A2275A" w:rsidRDefault="00357657" w:rsidP="00357657">
      <w:pPr>
        <w:rPr>
          <w:rFonts w:ascii="Times New Roman" w:eastAsia="Times New Roman" w:hAnsi="Times New Roman" w:cs="Times New Roman"/>
          <w:sz w:val="24"/>
          <w:szCs w:val="24"/>
        </w:rPr>
      </w:pPr>
      <w:r w:rsidRPr="00357657">
        <w:rPr>
          <w:rFonts w:ascii="Times New Roman" w:eastAsia="Times New Roman" w:hAnsi="Times New Roman" w:cs="Times New Roman"/>
          <w:b/>
          <w:bCs/>
          <w:sz w:val="24"/>
          <w:szCs w:val="24"/>
        </w:rPr>
        <w:t>Dambudzo Marechera's digital afterlives</w:t>
      </w:r>
      <w:r w:rsidRPr="00357657">
        <w:rPr>
          <w:rFonts w:ascii="Times New Roman" w:eastAsia="Times New Roman" w:hAnsi="Times New Roman" w:cs="Times New Roman"/>
          <w:b/>
          <w:bCs/>
          <w:sz w:val="24"/>
          <w:szCs w:val="24"/>
        </w:rPr>
        <w:br/>
      </w:r>
    </w:p>
    <w:p w14:paraId="6FC608D7" w14:textId="43693858" w:rsidR="00357657" w:rsidRDefault="00357657" w:rsidP="00357657">
      <w:pPr>
        <w:rPr>
          <w:rFonts w:ascii="Times New Roman" w:eastAsia="Times New Roman" w:hAnsi="Times New Roman" w:cs="Times New Roman"/>
          <w:sz w:val="24"/>
          <w:szCs w:val="24"/>
        </w:rPr>
      </w:pPr>
      <w:r w:rsidRPr="00A2275A">
        <w:rPr>
          <w:rFonts w:ascii="Times New Roman" w:eastAsia="Times New Roman" w:hAnsi="Times New Roman" w:cs="Times New Roman"/>
          <w:i/>
          <w:iCs/>
          <w:sz w:val="24"/>
          <w:szCs w:val="24"/>
        </w:rPr>
        <w:t>Tinashe Mushakavanhu</w:t>
      </w:r>
      <w:r w:rsidRPr="00357657">
        <w:rPr>
          <w:rFonts w:ascii="Times New Roman" w:eastAsia="Times New Roman" w:hAnsi="Times New Roman" w:cs="Times New Roman"/>
          <w:sz w:val="24"/>
          <w:szCs w:val="24"/>
        </w:rPr>
        <w:br/>
      </w:r>
      <w:r w:rsidRPr="00357657">
        <w:rPr>
          <w:rFonts w:ascii="Times New Roman" w:eastAsia="Times New Roman" w:hAnsi="Times New Roman" w:cs="Times New Roman"/>
          <w:sz w:val="24"/>
          <w:szCs w:val="24"/>
        </w:rPr>
        <w:br/>
        <w:t>This reading of Dambudzo Marechera aims to present a multifaceted overview of his legacy and contributions as they have been digitally constructed, despite his material archive being physically deposited in Berlin, Germany. The aim is to provide speculative pathways that suggest how we might potentially enlarge ways of reading not only Marechera but African literatures in the internet age in the context of debates about repatriation and reparations. From this exercise, several questions emerge, especially how digital technologies and medias have reformulated the form, function, and audience of African literature.</w:t>
      </w:r>
    </w:p>
    <w:p w14:paraId="6B13A9BB" w14:textId="77777777" w:rsidR="00916DCC" w:rsidRDefault="00916DCC" w:rsidP="00357657">
      <w:pPr>
        <w:rPr>
          <w:rFonts w:ascii="Times New Roman" w:eastAsia="Times New Roman" w:hAnsi="Times New Roman" w:cs="Times New Roman"/>
          <w:sz w:val="24"/>
          <w:szCs w:val="24"/>
        </w:rPr>
      </w:pPr>
    </w:p>
    <w:p w14:paraId="76358F5F" w14:textId="77777777" w:rsidR="00CB77F3" w:rsidRPr="00916DCC" w:rsidRDefault="00CB77F3" w:rsidP="00916DCC">
      <w:pPr>
        <w:spacing w:line="360" w:lineRule="auto"/>
        <w:rPr>
          <w:rFonts w:ascii="Times New Roman" w:hAnsi="Times New Roman" w:cs="Times New Roman"/>
          <w:sz w:val="24"/>
          <w:szCs w:val="24"/>
        </w:rPr>
      </w:pPr>
    </w:p>
    <w:sectPr w:rsidR="00CB77F3" w:rsidRPr="00916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10"/>
    <w:rsid w:val="00087CEF"/>
    <w:rsid w:val="00143410"/>
    <w:rsid w:val="00271DC7"/>
    <w:rsid w:val="00357657"/>
    <w:rsid w:val="0038056F"/>
    <w:rsid w:val="005544BF"/>
    <w:rsid w:val="00630B98"/>
    <w:rsid w:val="007F4E0F"/>
    <w:rsid w:val="008E22F8"/>
    <w:rsid w:val="00903814"/>
    <w:rsid w:val="00916829"/>
    <w:rsid w:val="00916DCC"/>
    <w:rsid w:val="009D3DE1"/>
    <w:rsid w:val="00A2275A"/>
    <w:rsid w:val="00AB58C7"/>
    <w:rsid w:val="00BB20DA"/>
    <w:rsid w:val="00C54DB5"/>
    <w:rsid w:val="00CB77F3"/>
    <w:rsid w:val="00F5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BB1D"/>
  <w15:chartTrackingRefBased/>
  <w15:docId w15:val="{F0438235-5181-4649-B1A8-9884C854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F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
    <w:name w:val="xxx"/>
    <w:basedOn w:val="Normal"/>
    <w:rsid w:val="00CB77F3"/>
    <w:rPr>
      <w14:ligatures w14:val="none"/>
    </w:rPr>
  </w:style>
  <w:style w:type="paragraph" w:customStyle="1" w:styleId="xmsonormal">
    <w:name w:val="xmsonormal"/>
    <w:basedOn w:val="Normal"/>
    <w:rsid w:val="00CB77F3"/>
    <w:rPr>
      <w14:ligatures w14:val="none"/>
    </w:rPr>
  </w:style>
  <w:style w:type="character" w:customStyle="1" w:styleId="contentpasted1">
    <w:name w:val="contentpasted1"/>
    <w:basedOn w:val="DefaultParagraphFont"/>
    <w:rsid w:val="00CB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7646">
      <w:bodyDiv w:val="1"/>
      <w:marLeft w:val="0"/>
      <w:marRight w:val="0"/>
      <w:marTop w:val="0"/>
      <w:marBottom w:val="0"/>
      <w:divBdr>
        <w:top w:val="none" w:sz="0" w:space="0" w:color="auto"/>
        <w:left w:val="none" w:sz="0" w:space="0" w:color="auto"/>
        <w:bottom w:val="none" w:sz="0" w:space="0" w:color="auto"/>
        <w:right w:val="none" w:sz="0" w:space="0" w:color="auto"/>
      </w:divBdr>
    </w:div>
    <w:div w:id="490952612">
      <w:bodyDiv w:val="1"/>
      <w:marLeft w:val="0"/>
      <w:marRight w:val="0"/>
      <w:marTop w:val="0"/>
      <w:marBottom w:val="0"/>
      <w:divBdr>
        <w:top w:val="none" w:sz="0" w:space="0" w:color="auto"/>
        <w:left w:val="none" w:sz="0" w:space="0" w:color="auto"/>
        <w:bottom w:val="none" w:sz="0" w:space="0" w:color="auto"/>
        <w:right w:val="none" w:sz="0" w:space="0" w:color="auto"/>
      </w:divBdr>
    </w:div>
    <w:div w:id="505170996">
      <w:bodyDiv w:val="1"/>
      <w:marLeft w:val="0"/>
      <w:marRight w:val="0"/>
      <w:marTop w:val="0"/>
      <w:marBottom w:val="0"/>
      <w:divBdr>
        <w:top w:val="none" w:sz="0" w:space="0" w:color="auto"/>
        <w:left w:val="none" w:sz="0" w:space="0" w:color="auto"/>
        <w:bottom w:val="none" w:sz="0" w:space="0" w:color="auto"/>
        <w:right w:val="none" w:sz="0" w:space="0" w:color="auto"/>
      </w:divBdr>
    </w:div>
    <w:div w:id="579951756">
      <w:bodyDiv w:val="1"/>
      <w:marLeft w:val="0"/>
      <w:marRight w:val="0"/>
      <w:marTop w:val="0"/>
      <w:marBottom w:val="0"/>
      <w:divBdr>
        <w:top w:val="none" w:sz="0" w:space="0" w:color="auto"/>
        <w:left w:val="none" w:sz="0" w:space="0" w:color="auto"/>
        <w:bottom w:val="none" w:sz="0" w:space="0" w:color="auto"/>
        <w:right w:val="none" w:sz="0" w:space="0" w:color="auto"/>
      </w:divBdr>
    </w:div>
    <w:div w:id="1103115426">
      <w:bodyDiv w:val="1"/>
      <w:marLeft w:val="0"/>
      <w:marRight w:val="0"/>
      <w:marTop w:val="0"/>
      <w:marBottom w:val="0"/>
      <w:divBdr>
        <w:top w:val="none" w:sz="0" w:space="0" w:color="auto"/>
        <w:left w:val="none" w:sz="0" w:space="0" w:color="auto"/>
        <w:bottom w:val="none" w:sz="0" w:space="0" w:color="auto"/>
        <w:right w:val="none" w:sz="0" w:space="0" w:color="auto"/>
      </w:divBdr>
    </w:div>
    <w:div w:id="1187479143">
      <w:bodyDiv w:val="1"/>
      <w:marLeft w:val="0"/>
      <w:marRight w:val="0"/>
      <w:marTop w:val="0"/>
      <w:marBottom w:val="0"/>
      <w:divBdr>
        <w:top w:val="none" w:sz="0" w:space="0" w:color="auto"/>
        <w:left w:val="none" w:sz="0" w:space="0" w:color="auto"/>
        <w:bottom w:val="none" w:sz="0" w:space="0" w:color="auto"/>
        <w:right w:val="none" w:sz="0" w:space="0" w:color="auto"/>
      </w:divBdr>
    </w:div>
    <w:div w:id="1282346220">
      <w:bodyDiv w:val="1"/>
      <w:marLeft w:val="0"/>
      <w:marRight w:val="0"/>
      <w:marTop w:val="0"/>
      <w:marBottom w:val="0"/>
      <w:divBdr>
        <w:top w:val="none" w:sz="0" w:space="0" w:color="auto"/>
        <w:left w:val="none" w:sz="0" w:space="0" w:color="auto"/>
        <w:bottom w:val="none" w:sz="0" w:space="0" w:color="auto"/>
        <w:right w:val="none" w:sz="0" w:space="0" w:color="auto"/>
      </w:divBdr>
    </w:div>
    <w:div w:id="1746684537">
      <w:bodyDiv w:val="1"/>
      <w:marLeft w:val="0"/>
      <w:marRight w:val="0"/>
      <w:marTop w:val="0"/>
      <w:marBottom w:val="0"/>
      <w:divBdr>
        <w:top w:val="none" w:sz="0" w:space="0" w:color="auto"/>
        <w:left w:val="none" w:sz="0" w:space="0" w:color="auto"/>
        <w:bottom w:val="none" w:sz="0" w:space="0" w:color="auto"/>
        <w:right w:val="none" w:sz="0" w:space="0" w:color="auto"/>
      </w:divBdr>
    </w:div>
    <w:div w:id="1933589281">
      <w:bodyDiv w:val="1"/>
      <w:marLeft w:val="0"/>
      <w:marRight w:val="0"/>
      <w:marTop w:val="0"/>
      <w:marBottom w:val="0"/>
      <w:divBdr>
        <w:top w:val="none" w:sz="0" w:space="0" w:color="auto"/>
        <w:left w:val="none" w:sz="0" w:space="0" w:color="auto"/>
        <w:bottom w:val="none" w:sz="0" w:space="0" w:color="auto"/>
        <w:right w:val="none" w:sz="0" w:space="0" w:color="auto"/>
      </w:divBdr>
    </w:div>
    <w:div w:id="20690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Nuttall</dc:creator>
  <cp:keywords/>
  <dc:description/>
  <cp:lastModifiedBy>Sarah Nuttall</cp:lastModifiedBy>
  <cp:revision>18</cp:revision>
  <dcterms:created xsi:type="dcterms:W3CDTF">2023-07-26T10:43:00Z</dcterms:created>
  <dcterms:modified xsi:type="dcterms:W3CDTF">2023-08-08T11:10:00Z</dcterms:modified>
</cp:coreProperties>
</file>