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886B9" w14:textId="16B6BDA7" w:rsidR="00C8677E" w:rsidRDefault="00C8677E" w:rsidP="00C8677E">
      <w:pPr>
        <w:rPr>
          <w:rFonts w:ascii="Calibri" w:hAnsi="Calibri"/>
        </w:rPr>
      </w:pPr>
      <w:r>
        <w:rPr>
          <w:rFonts w:ascii="Calibri" w:hAnsi="Calibri"/>
        </w:rPr>
        <w:t>Briefing Note</w:t>
      </w:r>
      <w:r w:rsidR="003F1C08">
        <w:rPr>
          <w:rFonts w:ascii="Calibri" w:hAnsi="Calibri"/>
        </w:rPr>
        <w:t xml:space="preserve">:  A </w:t>
      </w:r>
      <w:r w:rsidR="000A0188">
        <w:rPr>
          <w:rFonts w:ascii="Calibri" w:hAnsi="Calibri"/>
        </w:rPr>
        <w:t xml:space="preserve">Prospective </w:t>
      </w:r>
      <w:r w:rsidR="003F1C08">
        <w:rPr>
          <w:rFonts w:ascii="Calibri" w:hAnsi="Calibri"/>
        </w:rPr>
        <w:t>View of the Emotional Toll of Social Justice Work</w:t>
      </w:r>
    </w:p>
    <w:p w14:paraId="0DF2CF4A" w14:textId="370703F4" w:rsidR="00E855FF" w:rsidRDefault="00E855FF" w:rsidP="00C8677E">
      <w:pPr>
        <w:rPr>
          <w:rFonts w:ascii="Calibri" w:hAnsi="Calibri"/>
        </w:rPr>
      </w:pPr>
      <w:r>
        <w:rPr>
          <w:rFonts w:ascii="Calibri" w:hAnsi="Calibri"/>
        </w:rPr>
        <w:t>31 July 2018</w:t>
      </w:r>
    </w:p>
    <w:p w14:paraId="5D8965C9" w14:textId="5CB56079" w:rsidR="00E855FF" w:rsidRDefault="00E855FF" w:rsidP="00C8677E">
      <w:pPr>
        <w:rPr>
          <w:rFonts w:ascii="Calibri" w:hAnsi="Calibri"/>
        </w:rPr>
      </w:pPr>
      <w:r>
        <w:rPr>
          <w:rFonts w:ascii="Calibri" w:hAnsi="Calibri"/>
        </w:rPr>
        <w:t>Jonathan.klaaren@wits.ac.za</w:t>
      </w:r>
    </w:p>
    <w:p w14:paraId="7D8CA9D8" w14:textId="77777777" w:rsidR="00C8677E" w:rsidRDefault="00C8677E" w:rsidP="00C8677E">
      <w:pPr>
        <w:rPr>
          <w:rFonts w:ascii="Calibri" w:hAnsi="Calibri"/>
        </w:rPr>
      </w:pPr>
    </w:p>
    <w:p w14:paraId="1DC8788D" w14:textId="732285CC" w:rsidR="00F62F67" w:rsidRDefault="00197912" w:rsidP="00C8677E">
      <w:pPr>
        <w:rPr>
          <w:rFonts w:ascii="Calibri" w:hAnsi="Calibri"/>
        </w:rPr>
      </w:pPr>
      <w:r>
        <w:rPr>
          <w:rFonts w:ascii="Calibri" w:hAnsi="Calibri"/>
        </w:rPr>
        <w:t xml:space="preserve">The Medical Humanities Programme at </w:t>
      </w:r>
      <w:proofErr w:type="spellStart"/>
      <w:r w:rsidR="00C8677E">
        <w:rPr>
          <w:rFonts w:ascii="Calibri" w:hAnsi="Calibri"/>
        </w:rPr>
        <w:t>WiSER</w:t>
      </w:r>
      <w:proofErr w:type="spellEnd"/>
      <w:r w:rsidR="00C8677E">
        <w:rPr>
          <w:rFonts w:ascii="Calibri" w:hAnsi="Calibri"/>
        </w:rPr>
        <w:t>, in partnership with Section 27 and the Wits chapter of Students for Law and Social Justice</w:t>
      </w:r>
      <w:r>
        <w:rPr>
          <w:rFonts w:ascii="Calibri" w:hAnsi="Calibri"/>
        </w:rPr>
        <w:t xml:space="preserve"> at the Wits Law School</w:t>
      </w:r>
      <w:r w:rsidR="00C8677E">
        <w:rPr>
          <w:rFonts w:ascii="Calibri" w:hAnsi="Calibri"/>
        </w:rPr>
        <w:t xml:space="preserve">, will host an event </w:t>
      </w:r>
      <w:r>
        <w:rPr>
          <w:rFonts w:ascii="Calibri" w:hAnsi="Calibri"/>
        </w:rPr>
        <w:t>on 14</w:t>
      </w:r>
      <w:r w:rsidRPr="00197912">
        <w:rPr>
          <w:rFonts w:ascii="Calibri" w:hAnsi="Calibri"/>
          <w:vertAlign w:val="superscript"/>
        </w:rPr>
        <w:t>th</w:t>
      </w:r>
      <w:r>
        <w:rPr>
          <w:rFonts w:ascii="Calibri" w:hAnsi="Calibri"/>
        </w:rPr>
        <w:t xml:space="preserve"> August at the Adler Museum of the Wits Medical School to begin a </w:t>
      </w:r>
      <w:r w:rsidR="00C8677E">
        <w:rPr>
          <w:rFonts w:ascii="Calibri" w:hAnsi="Calibri"/>
        </w:rPr>
        <w:t>discuss</w:t>
      </w:r>
      <w:r>
        <w:rPr>
          <w:rFonts w:ascii="Calibri" w:hAnsi="Calibri"/>
        </w:rPr>
        <w:t>ion</w:t>
      </w:r>
      <w:r w:rsidR="00C8677E">
        <w:rPr>
          <w:rFonts w:ascii="Calibri" w:hAnsi="Calibri"/>
        </w:rPr>
        <w:t xml:space="preserve"> </w:t>
      </w:r>
      <w:r>
        <w:rPr>
          <w:rFonts w:ascii="Calibri" w:hAnsi="Calibri"/>
        </w:rPr>
        <w:t xml:space="preserve">around </w:t>
      </w:r>
      <w:r w:rsidR="00C8677E">
        <w:rPr>
          <w:rFonts w:ascii="Calibri" w:hAnsi="Calibri"/>
        </w:rPr>
        <w:t xml:space="preserve">the </w:t>
      </w:r>
      <w:r w:rsidR="00C8677E" w:rsidRPr="007E372A">
        <w:rPr>
          <w:rFonts w:ascii="Calibri" w:hAnsi="Calibri"/>
        </w:rPr>
        <w:t xml:space="preserve">impact of working on </w:t>
      </w:r>
      <w:r w:rsidR="00C8677E">
        <w:rPr>
          <w:rFonts w:ascii="Calibri" w:hAnsi="Calibri"/>
        </w:rPr>
        <w:t xml:space="preserve">social justice campaigns such as </w:t>
      </w:r>
      <w:r>
        <w:rPr>
          <w:rFonts w:ascii="Calibri" w:hAnsi="Calibri"/>
        </w:rPr>
        <w:t xml:space="preserve">that mounted in response to </w:t>
      </w:r>
      <w:r w:rsidR="00C8677E" w:rsidRPr="007E372A">
        <w:rPr>
          <w:rFonts w:ascii="Calibri" w:hAnsi="Calibri"/>
        </w:rPr>
        <w:t xml:space="preserve">the </w:t>
      </w:r>
      <w:r w:rsidR="003F1C08">
        <w:rPr>
          <w:rFonts w:ascii="Calibri" w:hAnsi="Calibri"/>
        </w:rPr>
        <w:t xml:space="preserve">recent Life </w:t>
      </w:r>
      <w:proofErr w:type="spellStart"/>
      <w:r w:rsidR="003F1C08">
        <w:rPr>
          <w:rFonts w:ascii="Calibri" w:hAnsi="Calibri"/>
        </w:rPr>
        <w:t>Esidemeni</w:t>
      </w:r>
      <w:proofErr w:type="spellEnd"/>
      <w:r w:rsidR="003F1C08">
        <w:rPr>
          <w:rFonts w:ascii="Calibri" w:hAnsi="Calibri"/>
        </w:rPr>
        <w:t xml:space="preserve"> tragedy</w:t>
      </w:r>
      <w:r>
        <w:rPr>
          <w:rFonts w:ascii="Calibri" w:hAnsi="Calibri"/>
        </w:rPr>
        <w:t>.  We aim to have the discussion</w:t>
      </w:r>
      <w:r w:rsidR="00C8677E" w:rsidRPr="007E372A">
        <w:rPr>
          <w:rFonts w:ascii="Calibri" w:hAnsi="Calibri"/>
        </w:rPr>
        <w:t xml:space="preserve"> </w:t>
      </w:r>
      <w:r w:rsidR="00C8677E">
        <w:rPr>
          <w:rFonts w:ascii="Calibri" w:hAnsi="Calibri"/>
        </w:rPr>
        <w:t xml:space="preserve">from the perspective of the challenges such work poses to </w:t>
      </w:r>
      <w:r>
        <w:rPr>
          <w:rFonts w:ascii="Calibri" w:hAnsi="Calibri"/>
        </w:rPr>
        <w:t xml:space="preserve">entering and </w:t>
      </w:r>
      <w:r w:rsidR="00C8677E">
        <w:rPr>
          <w:rFonts w:ascii="Calibri" w:hAnsi="Calibri"/>
        </w:rPr>
        <w:t xml:space="preserve">sustaining practice </w:t>
      </w:r>
      <w:r w:rsidR="00C8677E" w:rsidRPr="007E372A">
        <w:rPr>
          <w:rFonts w:ascii="Calibri" w:hAnsi="Calibri"/>
        </w:rPr>
        <w:t>in the profession</w:t>
      </w:r>
      <w:r w:rsidR="00C8677E">
        <w:rPr>
          <w:rFonts w:ascii="Calibri" w:hAnsi="Calibri"/>
        </w:rPr>
        <w:t>s of law and medicine.</w:t>
      </w:r>
      <w:r w:rsidR="00C8677E" w:rsidRPr="007E372A">
        <w:rPr>
          <w:rFonts w:ascii="Calibri" w:hAnsi="Calibri"/>
        </w:rPr>
        <w:t xml:space="preserve"> </w:t>
      </w:r>
      <w:r w:rsidR="00C8677E">
        <w:rPr>
          <w:rFonts w:ascii="Calibri" w:hAnsi="Calibri"/>
        </w:rPr>
        <w:t xml:space="preserve"> The event will look at the implications for </w:t>
      </w:r>
      <w:r w:rsidR="00C8677E" w:rsidRPr="007E372A">
        <w:rPr>
          <w:rFonts w:ascii="Calibri" w:hAnsi="Calibri"/>
        </w:rPr>
        <w:t xml:space="preserve">professional identity, institutional contexts, </w:t>
      </w:r>
      <w:r w:rsidR="00C8677E">
        <w:rPr>
          <w:rFonts w:ascii="Calibri" w:hAnsi="Calibri"/>
        </w:rPr>
        <w:t xml:space="preserve">and the </w:t>
      </w:r>
      <w:r w:rsidR="00C8677E" w:rsidRPr="007E372A">
        <w:rPr>
          <w:rFonts w:ascii="Calibri" w:hAnsi="Calibri"/>
        </w:rPr>
        <w:t>retention of doctors and lawyers in the professions.</w:t>
      </w:r>
      <w:r w:rsidR="00F62F67">
        <w:rPr>
          <w:rFonts w:ascii="Calibri" w:hAnsi="Calibri"/>
        </w:rPr>
        <w:t xml:space="preserve">  The event will bring together a small number of final year law students with aspirations to enter social justice work with a number of medical students at an equivalent stage in their studies.</w:t>
      </w:r>
      <w:r w:rsidR="00153294">
        <w:rPr>
          <w:rFonts w:ascii="Calibri" w:hAnsi="Calibri"/>
        </w:rPr>
        <w:t xml:space="preserve">  </w:t>
      </w:r>
      <w:hyperlink r:id="rId6" w:history="1">
        <w:r w:rsidR="00153294" w:rsidRPr="00D3225F">
          <w:rPr>
            <w:rStyle w:val="Hyperlink"/>
            <w:rFonts w:ascii="Calibri" w:hAnsi="Calibri"/>
          </w:rPr>
          <w:t>https://wiser.wits.ac.za/event/emotional-toll-social-justice-work-medicine-and-law</w:t>
        </w:r>
      </w:hyperlink>
    </w:p>
    <w:p w14:paraId="77C67B50" w14:textId="77777777" w:rsidR="000A0188" w:rsidRDefault="000A0188" w:rsidP="00C8677E">
      <w:pPr>
        <w:rPr>
          <w:rFonts w:ascii="Calibri" w:hAnsi="Calibri"/>
        </w:rPr>
      </w:pPr>
    </w:p>
    <w:p w14:paraId="70F844FE" w14:textId="3A06C060" w:rsidR="00197912" w:rsidRPr="00197912" w:rsidRDefault="00197912" w:rsidP="00C8677E">
      <w:pPr>
        <w:rPr>
          <w:rFonts w:ascii="Calibri" w:hAnsi="Calibri"/>
          <w:b/>
        </w:rPr>
      </w:pPr>
      <w:r w:rsidRPr="00197912">
        <w:rPr>
          <w:rFonts w:ascii="Calibri" w:hAnsi="Calibri"/>
          <w:b/>
        </w:rPr>
        <w:t>What Some Literature Says</w:t>
      </w:r>
    </w:p>
    <w:p w14:paraId="7F7BA7D9" w14:textId="77777777" w:rsidR="00197912" w:rsidRDefault="00197912" w:rsidP="00C8677E">
      <w:pPr>
        <w:rPr>
          <w:rFonts w:ascii="Calibri" w:hAnsi="Calibri"/>
        </w:rPr>
      </w:pPr>
    </w:p>
    <w:p w14:paraId="12A8A599" w14:textId="0D2B5D6A" w:rsidR="00545C5D" w:rsidRPr="002A07FA" w:rsidRDefault="00D13C5A" w:rsidP="00C8677E">
      <w:pPr>
        <w:rPr>
          <w:rFonts w:ascii="Calibri" w:hAnsi="Calibri"/>
          <w:lang w:val="en-ZA"/>
        </w:rPr>
      </w:pPr>
      <w:r>
        <w:rPr>
          <w:rFonts w:ascii="Calibri" w:hAnsi="Calibri"/>
        </w:rPr>
        <w:tab/>
      </w:r>
      <w:r w:rsidR="00197912">
        <w:rPr>
          <w:rFonts w:ascii="Calibri" w:hAnsi="Calibri"/>
        </w:rPr>
        <w:t>Some recent scholarship has examined the impact of clinical experiences on the career choices of newly graduated or qualified professionals such as doctors and lawyers.</w:t>
      </w:r>
      <w:r w:rsidR="00545C5D">
        <w:rPr>
          <w:rFonts w:ascii="Calibri" w:hAnsi="Calibri"/>
        </w:rPr>
        <w:t xml:space="preserve">  The rationale for doing this research is that </w:t>
      </w:r>
      <w:r w:rsidR="00545C5D">
        <w:rPr>
          <w:rFonts w:ascii="Calibri" w:hAnsi="Calibri"/>
          <w:lang w:val="en-ZA"/>
        </w:rPr>
        <w:t>l</w:t>
      </w:r>
      <w:r w:rsidR="00545C5D" w:rsidRPr="00545C5D">
        <w:rPr>
          <w:rFonts w:ascii="Calibri" w:hAnsi="Calibri"/>
          <w:lang w:val="en-ZA"/>
        </w:rPr>
        <w:t xml:space="preserve">aw schools </w:t>
      </w:r>
      <w:r w:rsidR="00545C5D">
        <w:rPr>
          <w:rFonts w:ascii="Calibri" w:hAnsi="Calibri"/>
          <w:lang w:val="en-ZA"/>
        </w:rPr>
        <w:t xml:space="preserve">are often understood to </w:t>
      </w:r>
      <w:r w:rsidR="00545C5D" w:rsidRPr="00545C5D">
        <w:rPr>
          <w:rFonts w:ascii="Calibri" w:hAnsi="Calibri"/>
          <w:lang w:val="en-ZA"/>
        </w:rPr>
        <w:t>pre</w:t>
      </w:r>
      <w:r w:rsidR="00545C5D">
        <w:rPr>
          <w:rFonts w:ascii="Calibri" w:hAnsi="Calibri"/>
          <w:lang w:val="en-ZA"/>
        </w:rPr>
        <w:t>pare students to reason analyti</w:t>
      </w:r>
      <w:r w:rsidR="00545C5D" w:rsidRPr="00545C5D">
        <w:rPr>
          <w:rFonts w:ascii="Calibri" w:hAnsi="Calibri"/>
          <w:lang w:val="en-ZA"/>
        </w:rPr>
        <w:t xml:space="preserve">cally </w:t>
      </w:r>
      <w:r w:rsidR="00545C5D">
        <w:rPr>
          <w:rFonts w:ascii="Calibri" w:hAnsi="Calibri"/>
          <w:lang w:val="en-ZA"/>
        </w:rPr>
        <w:t xml:space="preserve">(the cognitive dimension) but to neither </w:t>
      </w:r>
      <w:r w:rsidR="00545C5D" w:rsidRPr="00545C5D">
        <w:rPr>
          <w:rFonts w:ascii="Calibri" w:hAnsi="Calibri"/>
          <w:lang w:val="en-ZA"/>
        </w:rPr>
        <w:t>prepare students adequately for the practice of law (the skills d</w:t>
      </w:r>
      <w:r w:rsidR="00545C5D">
        <w:rPr>
          <w:rFonts w:ascii="Calibri" w:hAnsi="Calibri"/>
          <w:lang w:val="en-ZA"/>
        </w:rPr>
        <w:t xml:space="preserve">imension), nor </w:t>
      </w:r>
      <w:proofErr w:type="spellStart"/>
      <w:r w:rsidR="00545C5D">
        <w:rPr>
          <w:rFonts w:ascii="Calibri" w:hAnsi="Calibri"/>
          <w:lang w:val="en-ZA"/>
        </w:rPr>
        <w:t>instill</w:t>
      </w:r>
      <w:proofErr w:type="spellEnd"/>
      <w:r w:rsidR="00545C5D">
        <w:rPr>
          <w:rFonts w:ascii="Calibri" w:hAnsi="Calibri"/>
          <w:lang w:val="en-ZA"/>
        </w:rPr>
        <w:t xml:space="preserve"> in them a sense of civic responsibility (the identity or professional dimension).</w:t>
      </w:r>
      <w:r>
        <w:rPr>
          <w:rFonts w:ascii="Calibri" w:hAnsi="Calibri"/>
          <w:lang w:val="en-ZA"/>
        </w:rPr>
        <w:t xml:space="preserve"> (</w:t>
      </w:r>
      <w:r w:rsidRPr="00D13C5A">
        <w:rPr>
          <w:rFonts w:ascii="Calibri" w:hAnsi="Calibri"/>
          <w:lang w:val="en-ZA"/>
        </w:rPr>
        <w:t xml:space="preserve">Tracy </w:t>
      </w:r>
      <w:proofErr w:type="spellStart"/>
      <w:r w:rsidRPr="00D13C5A">
        <w:rPr>
          <w:rFonts w:ascii="Calibri" w:hAnsi="Calibri"/>
          <w:lang w:val="en-ZA"/>
        </w:rPr>
        <w:t>Humby</w:t>
      </w:r>
      <w:proofErr w:type="spellEnd"/>
      <w:r w:rsidRPr="00D13C5A">
        <w:rPr>
          <w:rFonts w:ascii="Calibri" w:hAnsi="Calibri"/>
          <w:lang w:val="en-ZA"/>
        </w:rPr>
        <w:t>, “Legal Professional Identity Formation and the Representation of Legal Professionals in Classroom Talk” (University of the Witwatersrand, 2012)</w:t>
      </w:r>
      <w:r>
        <w:rPr>
          <w:rFonts w:ascii="Calibri" w:hAnsi="Calibri"/>
          <w:lang w:val="en-ZA"/>
        </w:rPr>
        <w:t>.</w:t>
      </w:r>
      <w:r w:rsidR="00E900C8">
        <w:rPr>
          <w:rFonts w:ascii="Calibri" w:hAnsi="Calibri"/>
          <w:lang w:val="en-ZA"/>
        </w:rPr>
        <w:t xml:space="preserve"> </w:t>
      </w:r>
      <w:r>
        <w:rPr>
          <w:rFonts w:ascii="Calibri" w:hAnsi="Calibri"/>
          <w:lang w:val="en-ZA"/>
        </w:rPr>
        <w:t xml:space="preserve"> </w:t>
      </w:r>
      <w:r w:rsidR="00E900C8">
        <w:rPr>
          <w:rFonts w:ascii="Calibri" w:hAnsi="Calibri"/>
          <w:lang w:val="en-ZA"/>
        </w:rPr>
        <w:t>The practice of clinical law at law schools is often mooted as an antidote to this problem.</w:t>
      </w:r>
      <w:r w:rsidR="00E56F72">
        <w:rPr>
          <w:rFonts w:ascii="Calibri" w:hAnsi="Calibri"/>
          <w:lang w:val="en-ZA"/>
        </w:rPr>
        <w:t xml:space="preserve">  Indeed, some legal educators specifically argue that law schools can learn directly from medical schools in this respect.</w:t>
      </w:r>
      <w:r w:rsidR="006D05D2">
        <w:rPr>
          <w:rFonts w:ascii="Calibri" w:hAnsi="Calibri"/>
          <w:lang w:val="en-ZA"/>
        </w:rPr>
        <w:t xml:space="preserve">  </w:t>
      </w:r>
      <w:r w:rsidR="005F33E7">
        <w:rPr>
          <w:rFonts w:ascii="Calibri" w:hAnsi="Calibri"/>
          <w:lang w:val="en-ZA"/>
        </w:rPr>
        <w:t>(</w:t>
      </w:r>
      <w:r w:rsidR="006D05D2" w:rsidRPr="006D05D2">
        <w:rPr>
          <w:rFonts w:ascii="Calibri" w:hAnsi="Calibri"/>
          <w:lang w:val="en-ZA"/>
        </w:rPr>
        <w:t xml:space="preserve">Jennifer S. Bard, “Practicing Medicine and Studying Law: How Medical Schools Used to Have the Same Problems We Do and What We Can Learn from Their Efforts to Solve Them,” </w:t>
      </w:r>
      <w:r w:rsidR="006D05D2" w:rsidRPr="006D05D2">
        <w:rPr>
          <w:rFonts w:ascii="Calibri" w:hAnsi="Calibri"/>
          <w:i/>
          <w:iCs/>
          <w:lang w:val="en-ZA"/>
        </w:rPr>
        <w:t>Seattle Journal for Social Justice</w:t>
      </w:r>
      <w:r w:rsidR="006D05D2" w:rsidRPr="006D05D2">
        <w:rPr>
          <w:rFonts w:ascii="Calibri" w:hAnsi="Calibri"/>
          <w:lang w:val="en-ZA"/>
        </w:rPr>
        <w:t xml:space="preserve"> 10 (2012 2011): 135.</w:t>
      </w:r>
      <w:r w:rsidR="005F33E7">
        <w:rPr>
          <w:rFonts w:ascii="Calibri" w:hAnsi="Calibri"/>
          <w:lang w:val="en-ZA"/>
        </w:rPr>
        <w:t>)</w:t>
      </w:r>
    </w:p>
    <w:p w14:paraId="0499D5B1" w14:textId="77777777" w:rsidR="00545C5D" w:rsidRDefault="00545C5D" w:rsidP="00C8677E">
      <w:pPr>
        <w:rPr>
          <w:rFonts w:ascii="Calibri" w:hAnsi="Calibri"/>
        </w:rPr>
      </w:pPr>
    </w:p>
    <w:p w14:paraId="25135866" w14:textId="53AD806C" w:rsidR="00197912" w:rsidRDefault="002A07FA" w:rsidP="00C8677E">
      <w:pPr>
        <w:rPr>
          <w:rFonts w:ascii="Calibri" w:hAnsi="Calibri"/>
        </w:rPr>
      </w:pPr>
      <w:r>
        <w:rPr>
          <w:rFonts w:ascii="Calibri" w:hAnsi="Calibri"/>
        </w:rPr>
        <w:tab/>
      </w:r>
      <w:r w:rsidR="00DD5C81">
        <w:rPr>
          <w:rFonts w:ascii="Calibri" w:hAnsi="Calibri"/>
        </w:rPr>
        <w:t xml:space="preserve">In the legal field, one American study looked at the impact of clinical experiences on </w:t>
      </w:r>
      <w:r w:rsidR="002B3AD5">
        <w:rPr>
          <w:rFonts w:ascii="Calibri" w:hAnsi="Calibri"/>
        </w:rPr>
        <w:t>the career choices of newly minted lawyers.</w:t>
      </w:r>
      <w:r w:rsidR="006B4602">
        <w:rPr>
          <w:rFonts w:ascii="Calibri" w:hAnsi="Calibri"/>
        </w:rPr>
        <w:t xml:space="preserve">  (</w:t>
      </w:r>
      <w:r w:rsidR="006B4602" w:rsidRPr="006B4602">
        <w:rPr>
          <w:rFonts w:ascii="Calibri" w:hAnsi="Calibri"/>
          <w:lang w:val="en-ZA"/>
        </w:rPr>
        <w:t xml:space="preserve">Rebecca </w:t>
      </w:r>
      <w:proofErr w:type="spellStart"/>
      <w:r w:rsidR="006B4602" w:rsidRPr="006B4602">
        <w:rPr>
          <w:rFonts w:ascii="Calibri" w:hAnsi="Calibri"/>
          <w:lang w:val="en-ZA"/>
        </w:rPr>
        <w:t>Sandefur</w:t>
      </w:r>
      <w:proofErr w:type="spellEnd"/>
      <w:r w:rsidR="006B4602" w:rsidRPr="006B4602">
        <w:rPr>
          <w:rFonts w:ascii="Calibri" w:hAnsi="Calibri"/>
          <w:lang w:val="en-ZA"/>
        </w:rPr>
        <w:t xml:space="preserve"> and Jeffrey </w:t>
      </w:r>
      <w:proofErr w:type="spellStart"/>
      <w:r w:rsidR="006B4602" w:rsidRPr="006B4602">
        <w:rPr>
          <w:rFonts w:ascii="Calibri" w:hAnsi="Calibri"/>
          <w:lang w:val="en-ZA"/>
        </w:rPr>
        <w:t>Selbin</w:t>
      </w:r>
      <w:proofErr w:type="spellEnd"/>
      <w:r w:rsidR="006B4602" w:rsidRPr="006B4602">
        <w:rPr>
          <w:rFonts w:ascii="Calibri" w:hAnsi="Calibri"/>
          <w:lang w:val="en-ZA"/>
        </w:rPr>
        <w:t xml:space="preserve">, “The Clinic Effect,” </w:t>
      </w:r>
      <w:r w:rsidR="006B4602" w:rsidRPr="006B4602">
        <w:rPr>
          <w:rFonts w:ascii="Calibri" w:hAnsi="Calibri"/>
          <w:i/>
          <w:iCs/>
          <w:lang w:val="en-ZA"/>
        </w:rPr>
        <w:t>Clinical Law Review</w:t>
      </w:r>
      <w:r w:rsidR="006B4602" w:rsidRPr="006B4602">
        <w:rPr>
          <w:rFonts w:ascii="Calibri" w:hAnsi="Calibri"/>
          <w:lang w:val="en-ZA"/>
        </w:rPr>
        <w:t xml:space="preserve"> 16 (2009): 57.</w:t>
      </w:r>
      <w:r w:rsidR="006B4602">
        <w:rPr>
          <w:rFonts w:ascii="Calibri" w:hAnsi="Calibri"/>
          <w:lang w:val="en-ZA"/>
        </w:rPr>
        <w:t xml:space="preserve">) </w:t>
      </w:r>
      <w:r w:rsidR="00197912">
        <w:rPr>
          <w:rFonts w:ascii="Calibri" w:hAnsi="Calibri"/>
        </w:rPr>
        <w:t xml:space="preserve"> This study found no statistically significant connection between those lawyers reporting clinical experiences </w:t>
      </w:r>
      <w:r w:rsidR="006B4602">
        <w:rPr>
          <w:rFonts w:ascii="Calibri" w:hAnsi="Calibri"/>
        </w:rPr>
        <w:t xml:space="preserve">during law school </w:t>
      </w:r>
      <w:r w:rsidR="00197912">
        <w:rPr>
          <w:rFonts w:ascii="Calibri" w:hAnsi="Calibri"/>
        </w:rPr>
        <w:t>and those reporting pro bono service</w:t>
      </w:r>
      <w:r w:rsidR="006B4602">
        <w:rPr>
          <w:rFonts w:ascii="Calibri" w:hAnsi="Calibri"/>
        </w:rPr>
        <w:t xml:space="preserve"> in their later careers</w:t>
      </w:r>
      <w:r w:rsidR="00197912">
        <w:rPr>
          <w:rFonts w:ascii="Calibri" w:hAnsi="Calibri"/>
        </w:rPr>
        <w:t>.  On the other hand, lawyers’ recollected motivations for entering law were significantly associated to their civic participation</w:t>
      </w:r>
      <w:r w:rsidR="006B4602">
        <w:rPr>
          <w:rFonts w:ascii="Calibri" w:hAnsi="Calibri"/>
        </w:rPr>
        <w:t xml:space="preserve"> (e.g. their experience as active participants or leaders in community organisations, charitable organisations, political advocacy groups, and bar-related organisations).  This study also looked at the public service employment aspect.</w:t>
      </w:r>
      <w:r w:rsidR="008F6399">
        <w:rPr>
          <w:rFonts w:ascii="Calibri" w:hAnsi="Calibri"/>
        </w:rPr>
        <w:t xml:space="preserve"> F</w:t>
      </w:r>
      <w:r w:rsidR="00197912">
        <w:rPr>
          <w:rFonts w:ascii="Calibri" w:hAnsi="Calibri"/>
        </w:rPr>
        <w:t>or those</w:t>
      </w:r>
      <w:r w:rsidR="008F6399">
        <w:rPr>
          <w:rFonts w:ascii="Calibri" w:hAnsi="Calibri"/>
        </w:rPr>
        <w:t xml:space="preserve"> lawyers</w:t>
      </w:r>
      <w:r w:rsidR="00197912">
        <w:rPr>
          <w:rFonts w:ascii="Calibri" w:hAnsi="Calibri"/>
        </w:rPr>
        <w:t xml:space="preserve"> who reported their clinical training</w:t>
      </w:r>
      <w:r w:rsidR="008F6399">
        <w:rPr>
          <w:rFonts w:ascii="Calibri" w:hAnsi="Calibri"/>
        </w:rPr>
        <w:t xml:space="preserve"> in law school</w:t>
      </w:r>
      <w:r w:rsidR="00197912">
        <w:rPr>
          <w:rFonts w:ascii="Calibri" w:hAnsi="Calibri"/>
        </w:rPr>
        <w:t xml:space="preserve"> as helpful</w:t>
      </w:r>
      <w:r w:rsidR="008F6399">
        <w:rPr>
          <w:rFonts w:ascii="Calibri" w:hAnsi="Calibri"/>
        </w:rPr>
        <w:t xml:space="preserve"> (as distinct from those who did not)</w:t>
      </w:r>
      <w:r w:rsidR="00197912">
        <w:rPr>
          <w:rFonts w:ascii="Calibri" w:hAnsi="Calibri"/>
        </w:rPr>
        <w:t xml:space="preserve">, significantly more would go </w:t>
      </w:r>
      <w:r w:rsidR="008F6399">
        <w:rPr>
          <w:rFonts w:ascii="Calibri" w:hAnsi="Calibri"/>
        </w:rPr>
        <w:t xml:space="preserve">on </w:t>
      </w:r>
      <w:r w:rsidR="00197912">
        <w:rPr>
          <w:rFonts w:ascii="Calibri" w:hAnsi="Calibri"/>
        </w:rPr>
        <w:t xml:space="preserve">to work in </w:t>
      </w:r>
      <w:r w:rsidR="008F6399">
        <w:rPr>
          <w:rFonts w:ascii="Calibri" w:hAnsi="Calibri"/>
        </w:rPr>
        <w:t xml:space="preserve">the </w:t>
      </w:r>
      <w:r w:rsidR="00197912">
        <w:rPr>
          <w:rFonts w:ascii="Calibri" w:hAnsi="Calibri"/>
        </w:rPr>
        <w:t xml:space="preserve">public service as </w:t>
      </w:r>
      <w:r w:rsidR="008F6399">
        <w:rPr>
          <w:rFonts w:ascii="Calibri" w:hAnsi="Calibri"/>
        </w:rPr>
        <w:t xml:space="preserve">government lawyers as </w:t>
      </w:r>
      <w:r w:rsidR="00197912">
        <w:rPr>
          <w:rFonts w:ascii="Calibri" w:hAnsi="Calibri"/>
        </w:rPr>
        <w:t>op</w:t>
      </w:r>
      <w:r w:rsidR="008F6399">
        <w:rPr>
          <w:rFonts w:ascii="Calibri" w:hAnsi="Calibri"/>
        </w:rPr>
        <w:t xml:space="preserve">posed to private service (20% as compared with 11%).  This </w:t>
      </w:r>
      <w:r w:rsidR="00E900C8">
        <w:rPr>
          <w:rFonts w:ascii="Calibri" w:hAnsi="Calibri"/>
        </w:rPr>
        <w:t xml:space="preserve">empirical </w:t>
      </w:r>
      <w:r w:rsidR="008F6399">
        <w:rPr>
          <w:rFonts w:ascii="Calibri" w:hAnsi="Calibri"/>
        </w:rPr>
        <w:t>study</w:t>
      </w:r>
      <w:r w:rsidR="00197912">
        <w:rPr>
          <w:rFonts w:ascii="Calibri" w:hAnsi="Calibri"/>
        </w:rPr>
        <w:t xml:space="preserve"> thus </w:t>
      </w:r>
      <w:r w:rsidR="008F6399">
        <w:rPr>
          <w:rFonts w:ascii="Calibri" w:hAnsi="Calibri"/>
        </w:rPr>
        <w:t xml:space="preserve">found what </w:t>
      </w:r>
      <w:r w:rsidR="00197912">
        <w:rPr>
          <w:rFonts w:ascii="Calibri" w:hAnsi="Calibri"/>
        </w:rPr>
        <w:t>appears to be a clinical effe</w:t>
      </w:r>
      <w:r w:rsidR="008F6399">
        <w:rPr>
          <w:rFonts w:ascii="Calibri" w:hAnsi="Calibri"/>
        </w:rPr>
        <w:t>ct on public service employment among aspirant lawyers.</w:t>
      </w:r>
    </w:p>
    <w:p w14:paraId="40949B81" w14:textId="77777777" w:rsidR="008F6399" w:rsidRDefault="008F6399" w:rsidP="00C8677E">
      <w:pPr>
        <w:rPr>
          <w:rFonts w:ascii="Calibri" w:hAnsi="Calibri"/>
        </w:rPr>
      </w:pPr>
    </w:p>
    <w:p w14:paraId="201E6A99" w14:textId="56BAF658" w:rsidR="008F6399" w:rsidRPr="006B4602" w:rsidRDefault="00FE47EF" w:rsidP="00C8677E">
      <w:pPr>
        <w:rPr>
          <w:rFonts w:ascii="Calibri" w:hAnsi="Calibri"/>
          <w:lang w:val="en-ZA"/>
        </w:rPr>
      </w:pPr>
      <w:r>
        <w:rPr>
          <w:rFonts w:ascii="Calibri" w:hAnsi="Calibri"/>
        </w:rPr>
        <w:tab/>
      </w:r>
      <w:r w:rsidR="008F6399">
        <w:rPr>
          <w:rFonts w:ascii="Calibri" w:hAnsi="Calibri"/>
        </w:rPr>
        <w:t>A revised version of this briefing note will parallel the above on the side of the medical profession.</w:t>
      </w:r>
      <w:r>
        <w:rPr>
          <w:rFonts w:ascii="Calibri" w:hAnsi="Calibri"/>
        </w:rPr>
        <w:t xml:space="preserve">  It will also survey the state of the South African literature.</w:t>
      </w:r>
      <w:r w:rsidR="00E855FF">
        <w:rPr>
          <w:rFonts w:ascii="Calibri" w:hAnsi="Calibri"/>
        </w:rPr>
        <w:t xml:space="preserve">  Participants at the event and the discussion are invited to contribute to this revision.</w:t>
      </w:r>
    </w:p>
    <w:p w14:paraId="72330922" w14:textId="77777777" w:rsidR="00197912" w:rsidRDefault="00197912" w:rsidP="00C8677E">
      <w:pPr>
        <w:rPr>
          <w:rFonts w:ascii="Calibri" w:hAnsi="Calibri"/>
        </w:rPr>
      </w:pPr>
    </w:p>
    <w:p w14:paraId="300EFE4A" w14:textId="4BCF2386" w:rsidR="00197912" w:rsidRPr="00197912" w:rsidRDefault="00804C87" w:rsidP="00C8677E">
      <w:pPr>
        <w:rPr>
          <w:rFonts w:ascii="Calibri" w:hAnsi="Calibri"/>
          <w:b/>
        </w:rPr>
      </w:pPr>
      <w:r>
        <w:rPr>
          <w:rFonts w:ascii="Calibri" w:hAnsi="Calibri"/>
          <w:b/>
        </w:rPr>
        <w:t>What Some Literature on Emotions at Work</w:t>
      </w:r>
      <w:r w:rsidR="00197912" w:rsidRPr="00197912">
        <w:rPr>
          <w:rFonts w:ascii="Calibri" w:hAnsi="Calibri"/>
          <w:b/>
        </w:rPr>
        <w:t xml:space="preserve"> Say</w:t>
      </w:r>
      <w:r>
        <w:rPr>
          <w:rFonts w:ascii="Calibri" w:hAnsi="Calibri"/>
          <w:b/>
        </w:rPr>
        <w:t>s</w:t>
      </w:r>
    </w:p>
    <w:p w14:paraId="50EFF545" w14:textId="77777777" w:rsidR="00197912" w:rsidRDefault="00197912" w:rsidP="00C8677E">
      <w:pPr>
        <w:rPr>
          <w:rFonts w:ascii="Calibri" w:hAnsi="Calibri"/>
        </w:rPr>
      </w:pPr>
    </w:p>
    <w:p w14:paraId="446443F3" w14:textId="244D459E" w:rsidR="00B933E6" w:rsidRPr="00EC14F0" w:rsidRDefault="000A4CDE" w:rsidP="00B933E6">
      <w:pPr>
        <w:rPr>
          <w:rFonts w:eastAsia="Times New Roman"/>
          <w:lang w:val="en-ZA"/>
        </w:rPr>
      </w:pPr>
      <w:r>
        <w:rPr>
          <w:rFonts w:ascii="Calibri" w:hAnsi="Calibri"/>
        </w:rPr>
        <w:tab/>
      </w:r>
      <w:r w:rsidR="00B933E6">
        <w:rPr>
          <w:rFonts w:ascii="Calibri" w:hAnsi="Calibri"/>
        </w:rPr>
        <w:t>Emotion, emotions, and emotional work are not often explicitly considered in work on professions generally.</w:t>
      </w:r>
      <w:r w:rsidR="00EC14F0">
        <w:rPr>
          <w:rFonts w:ascii="Calibri" w:hAnsi="Calibri"/>
        </w:rPr>
        <w:t xml:space="preserve">  </w:t>
      </w:r>
      <w:r w:rsidR="00B933E6">
        <w:rPr>
          <w:rFonts w:ascii="Calibri" w:hAnsi="Calibri"/>
        </w:rPr>
        <w:t xml:space="preserve"> </w:t>
      </w:r>
      <w:proofErr w:type="spellStart"/>
      <w:r w:rsidR="00EC14F0">
        <w:t>Céleste</w:t>
      </w:r>
      <w:proofErr w:type="spellEnd"/>
      <w:r w:rsidR="00EC14F0">
        <w:t xml:space="preserve"> M. </w:t>
      </w:r>
      <w:proofErr w:type="spellStart"/>
      <w:r w:rsidR="00EC14F0">
        <w:t>Brotheridge</w:t>
      </w:r>
      <w:proofErr w:type="spellEnd"/>
      <w:r w:rsidR="00EC14F0">
        <w:t xml:space="preserve"> and Alicia A. </w:t>
      </w:r>
      <w:proofErr w:type="spellStart"/>
      <w:r w:rsidR="00EC14F0">
        <w:t>Grandey</w:t>
      </w:r>
      <w:proofErr w:type="spellEnd"/>
      <w:r w:rsidR="00EC14F0">
        <w:t xml:space="preserve">, “Emotional </w:t>
      </w:r>
      <w:proofErr w:type="spellStart"/>
      <w:r w:rsidR="00EC14F0">
        <w:t>Labor</w:t>
      </w:r>
      <w:proofErr w:type="spellEnd"/>
      <w:r w:rsidR="00EC14F0">
        <w:t xml:space="preserve"> and Burnout: Comparing Two Perspectives of ‘People Work,’” </w:t>
      </w:r>
      <w:r w:rsidR="00EC14F0">
        <w:rPr>
          <w:i/>
          <w:iCs/>
        </w:rPr>
        <w:t xml:space="preserve">Journal of Vocational </w:t>
      </w:r>
      <w:proofErr w:type="spellStart"/>
      <w:r w:rsidR="00EC14F0">
        <w:rPr>
          <w:i/>
          <w:iCs/>
        </w:rPr>
        <w:t>Behavior</w:t>
      </w:r>
      <w:proofErr w:type="spellEnd"/>
      <w:r w:rsidR="00EC14F0">
        <w:t xml:space="preserve"> 60, no. 1 (February 1, 2002): 17–39, </w:t>
      </w:r>
      <w:hyperlink r:id="rId7" w:history="1">
        <w:r w:rsidR="00EC14F0">
          <w:rPr>
            <w:rStyle w:val="Hyperlink"/>
          </w:rPr>
          <w:t>https://doi.org/10.1006/jvbe.2001.1815</w:t>
        </w:r>
      </w:hyperlink>
      <w:r w:rsidR="00EC14F0">
        <w:t>.</w:t>
      </w:r>
      <w:r w:rsidR="00EC14F0">
        <w:rPr>
          <w:rFonts w:eastAsia="Times New Roman"/>
          <w:lang w:val="en-ZA"/>
        </w:rPr>
        <w:t xml:space="preserve"> </w:t>
      </w:r>
      <w:r w:rsidR="00B933E6">
        <w:rPr>
          <w:rFonts w:ascii="Calibri" w:hAnsi="Calibri"/>
        </w:rPr>
        <w:t xml:space="preserve"> The literature on social professions such as law and medicine </w:t>
      </w:r>
      <w:proofErr w:type="gramStart"/>
      <w:r w:rsidR="00B933E6">
        <w:rPr>
          <w:rFonts w:ascii="Calibri" w:hAnsi="Calibri"/>
        </w:rPr>
        <w:t>follows</w:t>
      </w:r>
      <w:proofErr w:type="gramEnd"/>
      <w:r w:rsidR="00B933E6">
        <w:rPr>
          <w:rFonts w:ascii="Calibri" w:hAnsi="Calibri"/>
        </w:rPr>
        <w:t xml:space="preserve"> this general rule.</w:t>
      </w:r>
    </w:p>
    <w:p w14:paraId="2BF0FEA5" w14:textId="77777777" w:rsidR="00804C87" w:rsidRDefault="00804C87" w:rsidP="00B933E6">
      <w:pPr>
        <w:rPr>
          <w:rFonts w:ascii="Calibri" w:hAnsi="Calibri"/>
        </w:rPr>
      </w:pPr>
    </w:p>
    <w:p w14:paraId="6B196EB6" w14:textId="577536D1" w:rsidR="00804C87" w:rsidRPr="00D72087" w:rsidRDefault="00804C87" w:rsidP="00804C87">
      <w:pPr>
        <w:rPr>
          <w:rFonts w:eastAsia="Times New Roman"/>
          <w:lang w:val="en-ZA"/>
        </w:rPr>
      </w:pPr>
      <w:r>
        <w:rPr>
          <w:rFonts w:ascii="Calibri" w:hAnsi="Calibri"/>
          <w:lang w:val="en-ZA"/>
        </w:rPr>
        <w:tab/>
        <w:t>One recent study on emotional work finds the following:  “</w:t>
      </w:r>
      <w:r w:rsidRPr="00804C87">
        <w:rPr>
          <w:rFonts w:ascii="Calibri" w:hAnsi="Calibri"/>
          <w:lang w:val="en-ZA"/>
        </w:rPr>
        <w:t>Affective delivery, or expressing positive emotions in service interactions, helps satisfy customers. But employees cannot always feel positive and, to avoid breaking display rules, may act. Surface acting (modifying facial expressions) and deep acting (modifying inner feelings) were tested as predictors of stress and of co</w:t>
      </w:r>
      <w:r w:rsidR="00DA714D">
        <w:rPr>
          <w:rFonts w:ascii="Calibri" w:hAnsi="Calibri"/>
          <w:lang w:val="en-ZA"/>
        </w:rPr>
        <w:t>-</w:t>
      </w:r>
      <w:r w:rsidRPr="00804C87">
        <w:rPr>
          <w:rFonts w:ascii="Calibri" w:hAnsi="Calibri"/>
          <w:lang w:val="en-ZA"/>
        </w:rPr>
        <w:t>worker-rated affective delivery, Consistent with a dramaturgical perspective, affective delivery ratings were negatively related to surface acting but positively related to deep acting. Surface acting, but not deep acting, was related to stress.</w:t>
      </w:r>
      <w:r>
        <w:rPr>
          <w:rFonts w:ascii="Calibri" w:hAnsi="Calibri"/>
          <w:lang w:val="en-ZA"/>
        </w:rPr>
        <w:t xml:space="preserve">”  </w:t>
      </w:r>
      <w:r w:rsidR="00D72087">
        <w:t xml:space="preserve">Alicia A. </w:t>
      </w:r>
      <w:proofErr w:type="spellStart"/>
      <w:r w:rsidR="00D72087">
        <w:t>Grandey</w:t>
      </w:r>
      <w:proofErr w:type="spellEnd"/>
      <w:r w:rsidR="00D72087">
        <w:t xml:space="preserve">, “When ‘The Show Must Go On’: Surface Acting and Deep Acting as Determinants of Emotional Exhaustion and Peer-Rated Service Delivery,” </w:t>
      </w:r>
      <w:r w:rsidR="00D72087">
        <w:rPr>
          <w:i/>
          <w:iCs/>
        </w:rPr>
        <w:t>Academy of Management Journal</w:t>
      </w:r>
      <w:r w:rsidR="00D72087">
        <w:t xml:space="preserve"> 46, no. 1 (February 1, 2003): 86–96, </w:t>
      </w:r>
      <w:hyperlink r:id="rId8" w:history="1">
        <w:r w:rsidR="00D72087">
          <w:rPr>
            <w:rStyle w:val="Hyperlink"/>
          </w:rPr>
          <w:t>https://doi.org/10.5465/30040678</w:t>
        </w:r>
      </w:hyperlink>
      <w:r w:rsidR="00D72087">
        <w:t>.</w:t>
      </w:r>
    </w:p>
    <w:p w14:paraId="4A766302" w14:textId="77777777" w:rsidR="00B933E6" w:rsidRDefault="00B933E6" w:rsidP="00C8677E">
      <w:pPr>
        <w:rPr>
          <w:rFonts w:ascii="Calibri" w:hAnsi="Calibri"/>
        </w:rPr>
      </w:pPr>
    </w:p>
    <w:p w14:paraId="6492B52D" w14:textId="111B8725" w:rsidR="00804C87" w:rsidRPr="00804C87" w:rsidRDefault="00804C87" w:rsidP="00C8677E">
      <w:pPr>
        <w:rPr>
          <w:rFonts w:ascii="Calibri" w:hAnsi="Calibri"/>
          <w:b/>
        </w:rPr>
      </w:pPr>
      <w:r>
        <w:rPr>
          <w:rFonts w:ascii="Calibri" w:hAnsi="Calibri"/>
          <w:b/>
        </w:rPr>
        <w:t xml:space="preserve">What Else Should </w:t>
      </w:r>
      <w:r w:rsidRPr="00197912">
        <w:rPr>
          <w:rFonts w:ascii="Calibri" w:hAnsi="Calibri"/>
          <w:b/>
        </w:rPr>
        <w:t>Be Said?</w:t>
      </w:r>
    </w:p>
    <w:p w14:paraId="6B3D75F5" w14:textId="77777777" w:rsidR="00804C87" w:rsidRDefault="00804C87" w:rsidP="00C8677E">
      <w:pPr>
        <w:rPr>
          <w:rFonts w:ascii="Calibri" w:hAnsi="Calibri"/>
        </w:rPr>
      </w:pPr>
    </w:p>
    <w:p w14:paraId="31877049" w14:textId="731BD622" w:rsidR="005F33E7" w:rsidRDefault="002A4E42" w:rsidP="002A4E42">
      <w:pPr>
        <w:rPr>
          <w:rFonts w:ascii="Calibri" w:hAnsi="Calibri"/>
        </w:rPr>
      </w:pPr>
      <w:r>
        <w:rPr>
          <w:rFonts w:ascii="Calibri" w:hAnsi="Calibri"/>
        </w:rPr>
        <w:t xml:space="preserve">The recent event of the Life </w:t>
      </w:r>
      <w:proofErr w:type="spellStart"/>
      <w:r>
        <w:rPr>
          <w:rFonts w:ascii="Calibri" w:hAnsi="Calibri"/>
        </w:rPr>
        <w:t>Esidemeni</w:t>
      </w:r>
      <w:proofErr w:type="spellEnd"/>
      <w:r>
        <w:rPr>
          <w:rFonts w:ascii="Calibri" w:hAnsi="Calibri"/>
        </w:rPr>
        <w:t xml:space="preserve"> tragedy has many emotional features and </w:t>
      </w:r>
      <w:r w:rsidR="005F33E7">
        <w:rPr>
          <w:rFonts w:ascii="Calibri" w:hAnsi="Calibri"/>
        </w:rPr>
        <w:t xml:space="preserve">emotive elements.  </w:t>
      </w:r>
      <w:hyperlink r:id="rId9" w:history="1">
        <w:r w:rsidR="00E855FF" w:rsidRPr="00D3225F">
          <w:rPr>
            <w:rStyle w:val="Hyperlink"/>
            <w:rFonts w:ascii="Calibri" w:hAnsi="Calibri"/>
          </w:rPr>
          <w:t>https://www.iol.co.za/news/opinion/lifeesidimeni-what-the-public-didnt-see-at-the-arbitration-hearings-13916293</w:t>
        </w:r>
      </w:hyperlink>
      <w:r w:rsidR="00E855FF">
        <w:rPr>
          <w:rFonts w:ascii="Calibri" w:hAnsi="Calibri"/>
        </w:rPr>
        <w:t xml:space="preserve">  </w:t>
      </w:r>
      <w:r w:rsidR="005F33E7">
        <w:rPr>
          <w:rFonts w:ascii="Calibri" w:hAnsi="Calibri"/>
        </w:rPr>
        <w:t xml:space="preserve">These elements </w:t>
      </w:r>
      <w:r>
        <w:rPr>
          <w:rFonts w:ascii="Calibri" w:hAnsi="Calibri"/>
        </w:rPr>
        <w:t xml:space="preserve">have </w:t>
      </w:r>
      <w:r w:rsidR="005F33E7">
        <w:rPr>
          <w:rFonts w:ascii="Calibri" w:hAnsi="Calibri"/>
        </w:rPr>
        <w:t xml:space="preserve">also </w:t>
      </w:r>
      <w:r>
        <w:rPr>
          <w:rFonts w:ascii="Calibri" w:hAnsi="Calibri"/>
        </w:rPr>
        <w:t xml:space="preserve">sparked calls for serious reconsideration of taken-for-granted features of professional life.  </w:t>
      </w:r>
    </w:p>
    <w:p w14:paraId="6AADF982" w14:textId="77777777" w:rsidR="005F33E7" w:rsidRDefault="005F33E7" w:rsidP="002A4E42">
      <w:pPr>
        <w:rPr>
          <w:rFonts w:ascii="Calibri" w:hAnsi="Calibri"/>
        </w:rPr>
      </w:pPr>
    </w:p>
    <w:p w14:paraId="3AC11074" w14:textId="13F0D6F0" w:rsidR="00B933E6" w:rsidRPr="00E2138B" w:rsidRDefault="005F33E7" w:rsidP="00C8677E">
      <w:pPr>
        <w:rPr>
          <w:rFonts w:ascii="Calibri" w:hAnsi="Calibri"/>
          <w:lang w:val="en-ZA"/>
        </w:rPr>
      </w:pPr>
      <w:r>
        <w:rPr>
          <w:rFonts w:ascii="Calibri" w:hAnsi="Calibri"/>
        </w:rPr>
        <w:t xml:space="preserve">It is also worthwhile to consider the degree to which the legal structures and discourses brought to bear are able to </w:t>
      </w:r>
      <w:proofErr w:type="gramStart"/>
      <w:r>
        <w:rPr>
          <w:rFonts w:ascii="Calibri" w:hAnsi="Calibri"/>
        </w:rPr>
        <w:t>take into account</w:t>
      </w:r>
      <w:proofErr w:type="gramEnd"/>
      <w:r>
        <w:rPr>
          <w:rFonts w:ascii="Calibri" w:hAnsi="Calibri"/>
        </w:rPr>
        <w:t xml:space="preserve"> and work with the emotional registers of the tragedy.  Certainly, </w:t>
      </w:r>
      <w:r w:rsidR="002A4E42">
        <w:rPr>
          <w:rFonts w:ascii="Calibri" w:hAnsi="Calibri"/>
        </w:rPr>
        <w:t xml:space="preserve">Justice </w:t>
      </w:r>
      <w:proofErr w:type="spellStart"/>
      <w:r w:rsidR="002A4E42">
        <w:rPr>
          <w:rFonts w:ascii="Calibri" w:hAnsi="Calibri"/>
        </w:rPr>
        <w:t>Moseneke</w:t>
      </w:r>
      <w:proofErr w:type="spellEnd"/>
      <w:r w:rsidR="002A4E42">
        <w:rPr>
          <w:rFonts w:ascii="Calibri" w:hAnsi="Calibri"/>
        </w:rPr>
        <w:t xml:space="preserve"> reconsidered and went beyond the prior precedents in his ruling for constitutional damages in the sum of one million </w:t>
      </w:r>
      <w:proofErr w:type="spellStart"/>
      <w:r w:rsidR="002A4E42">
        <w:rPr>
          <w:rFonts w:ascii="Calibri" w:hAnsi="Calibri"/>
        </w:rPr>
        <w:t>rands</w:t>
      </w:r>
      <w:proofErr w:type="spellEnd"/>
      <w:r w:rsidR="002A4E42">
        <w:rPr>
          <w:rFonts w:ascii="Calibri" w:hAnsi="Calibri"/>
        </w:rPr>
        <w:t xml:space="preserve"> to each of the families of the persons who died as a result of the enforced exodus from mental health institutions in the Life </w:t>
      </w:r>
      <w:proofErr w:type="spellStart"/>
      <w:r w:rsidR="002A4E42">
        <w:rPr>
          <w:rFonts w:ascii="Calibri" w:hAnsi="Calibri"/>
        </w:rPr>
        <w:t>Esidemeni</w:t>
      </w:r>
      <w:proofErr w:type="spellEnd"/>
      <w:r w:rsidR="002A4E42">
        <w:rPr>
          <w:rFonts w:ascii="Calibri" w:hAnsi="Calibri"/>
        </w:rPr>
        <w:t xml:space="preserve"> arbitration hearing.  </w:t>
      </w:r>
      <w:r w:rsidR="002A4E42" w:rsidRPr="008D42ED">
        <w:rPr>
          <w:rFonts w:ascii="Calibri" w:hAnsi="Calibri"/>
          <w:lang w:val="en-ZA"/>
        </w:rPr>
        <w:t xml:space="preserve">Life </w:t>
      </w:r>
      <w:proofErr w:type="spellStart"/>
      <w:r w:rsidR="002A4E42" w:rsidRPr="008D42ED">
        <w:rPr>
          <w:rFonts w:ascii="Calibri" w:hAnsi="Calibri"/>
          <w:lang w:val="en-ZA"/>
        </w:rPr>
        <w:t>Esidimeni</w:t>
      </w:r>
      <w:proofErr w:type="spellEnd"/>
      <w:r w:rsidR="002A4E42" w:rsidRPr="008D42ED">
        <w:rPr>
          <w:rFonts w:ascii="Calibri" w:hAnsi="Calibri"/>
          <w:lang w:val="en-ZA"/>
        </w:rPr>
        <w:t xml:space="preserve"> Arbitration Award (March 2018).</w:t>
      </w:r>
      <w:r w:rsidR="00804359">
        <w:rPr>
          <w:rFonts w:ascii="Calibri" w:hAnsi="Calibri"/>
          <w:lang w:val="en-ZA"/>
        </w:rPr>
        <w:t xml:space="preserve">  This may be a social location where the medico-legal boundary is generative.  Andrew Abbott</w:t>
      </w:r>
      <w:r w:rsidR="00804359" w:rsidRPr="00804359">
        <w:rPr>
          <w:rFonts w:ascii="Calibri" w:hAnsi="Calibri"/>
          <w:lang w:val="en-ZA"/>
        </w:rPr>
        <w:t xml:space="preserve">, “Things Of </w:t>
      </w:r>
      <w:proofErr w:type="spellStart"/>
      <w:r w:rsidR="00804359" w:rsidRPr="00804359">
        <w:rPr>
          <w:rFonts w:ascii="Calibri" w:hAnsi="Calibri"/>
          <w:lang w:val="en-ZA"/>
        </w:rPr>
        <w:t>Boundairies</w:t>
      </w:r>
      <w:proofErr w:type="spellEnd"/>
      <w:r w:rsidR="00804359" w:rsidRPr="00804359">
        <w:rPr>
          <w:rFonts w:ascii="Calibri" w:hAnsi="Calibri"/>
          <w:lang w:val="en-ZA"/>
        </w:rPr>
        <w:t xml:space="preserve">,” </w:t>
      </w:r>
      <w:r w:rsidR="00804359" w:rsidRPr="00804359">
        <w:rPr>
          <w:rFonts w:ascii="Calibri" w:hAnsi="Calibri"/>
          <w:i/>
          <w:iCs/>
          <w:lang w:val="en-ZA"/>
        </w:rPr>
        <w:t>Social Research</w:t>
      </w:r>
      <w:r w:rsidR="00804359" w:rsidRPr="00804359">
        <w:rPr>
          <w:rFonts w:ascii="Calibri" w:hAnsi="Calibri"/>
          <w:lang w:val="en-ZA"/>
        </w:rPr>
        <w:t xml:space="preserve"> 62, no. 4 (1995): 857–82.</w:t>
      </w:r>
    </w:p>
    <w:p w14:paraId="38E7CCEB" w14:textId="77777777" w:rsidR="005F57D7" w:rsidRDefault="005F57D7" w:rsidP="00C8677E">
      <w:pPr>
        <w:rPr>
          <w:rFonts w:ascii="Calibri" w:hAnsi="Calibri"/>
        </w:rPr>
      </w:pPr>
    </w:p>
    <w:p w14:paraId="208E73D8" w14:textId="167EA192" w:rsidR="005F57D7" w:rsidRPr="00AD61A9" w:rsidRDefault="005D41CD" w:rsidP="00C8677E">
      <w:pPr>
        <w:rPr>
          <w:rFonts w:eastAsia="Times New Roman"/>
          <w:lang w:val="en-ZA"/>
        </w:rPr>
      </w:pPr>
      <w:r>
        <w:rPr>
          <w:rFonts w:ascii="Calibri" w:hAnsi="Calibri"/>
        </w:rPr>
        <w:t>S</w:t>
      </w:r>
      <w:r w:rsidR="005F57D7">
        <w:rPr>
          <w:rFonts w:ascii="Calibri" w:hAnsi="Calibri"/>
        </w:rPr>
        <w:t xml:space="preserve">ome of the best </w:t>
      </w:r>
      <w:r>
        <w:rPr>
          <w:rFonts w:ascii="Calibri" w:hAnsi="Calibri"/>
        </w:rPr>
        <w:t xml:space="preserve">scholarly </w:t>
      </w:r>
      <w:r w:rsidR="005F57D7">
        <w:rPr>
          <w:rFonts w:ascii="Calibri" w:hAnsi="Calibri"/>
        </w:rPr>
        <w:t>work on professions does indeed draw on emotive contexts.  One example is Abbott’s understandin</w:t>
      </w:r>
      <w:bookmarkStart w:id="0" w:name="_GoBack"/>
      <w:bookmarkEnd w:id="0"/>
      <w:r w:rsidR="005F57D7">
        <w:rPr>
          <w:rFonts w:ascii="Calibri" w:hAnsi="Calibri"/>
        </w:rPr>
        <w:t>g of the social symbolic wo</w:t>
      </w:r>
      <w:r w:rsidR="00804359">
        <w:rPr>
          <w:rFonts w:ascii="Calibri" w:hAnsi="Calibri"/>
        </w:rPr>
        <w:t>rk done within the professions and specializations within the professions.</w:t>
      </w:r>
      <w:r w:rsidR="005F57D7">
        <w:rPr>
          <w:rFonts w:ascii="Calibri" w:hAnsi="Calibri"/>
        </w:rPr>
        <w:t xml:space="preserve"> </w:t>
      </w:r>
      <w:r w:rsidR="00804359">
        <w:rPr>
          <w:rFonts w:ascii="Calibri" w:hAnsi="Calibri"/>
        </w:rPr>
        <w:t xml:space="preserve"> </w:t>
      </w:r>
      <w:r w:rsidR="00AD61A9">
        <w:t xml:space="preserve">Andrew Abbott, “Status and Status Strain in the Professions,” </w:t>
      </w:r>
      <w:r w:rsidR="00AD61A9">
        <w:rPr>
          <w:i/>
          <w:iCs/>
        </w:rPr>
        <w:t>American Journal of Sociology</w:t>
      </w:r>
      <w:r w:rsidR="00AD61A9">
        <w:t xml:space="preserve"> 86, no. 4 (January 1, 1981): 819–35, </w:t>
      </w:r>
      <w:hyperlink r:id="rId10" w:history="1">
        <w:r w:rsidR="00AD61A9">
          <w:rPr>
            <w:rStyle w:val="Hyperlink"/>
          </w:rPr>
          <w:t>https://doi.org/10.1086/227318</w:t>
        </w:r>
      </w:hyperlink>
      <w:r w:rsidR="00AD61A9">
        <w:t>.</w:t>
      </w:r>
      <w:r w:rsidR="00AD61A9">
        <w:rPr>
          <w:rFonts w:eastAsia="Times New Roman"/>
          <w:lang w:val="en-ZA"/>
        </w:rPr>
        <w:t xml:space="preserve">  </w:t>
      </w:r>
      <w:r w:rsidR="00AD61A9">
        <w:rPr>
          <w:rFonts w:ascii="Calibri" w:hAnsi="Calibri"/>
        </w:rPr>
        <w:t>To some extent, he attributes</w:t>
      </w:r>
      <w:r w:rsidR="005F57D7">
        <w:rPr>
          <w:rFonts w:ascii="Calibri" w:hAnsi="Calibri"/>
        </w:rPr>
        <w:t xml:space="preserve"> the prestige owed to </w:t>
      </w:r>
      <w:r w:rsidR="00AD61A9">
        <w:rPr>
          <w:rFonts w:ascii="Calibri" w:hAnsi="Calibri"/>
        </w:rPr>
        <w:t xml:space="preserve">say heart </w:t>
      </w:r>
      <w:r w:rsidR="005F57D7">
        <w:rPr>
          <w:rFonts w:ascii="Calibri" w:hAnsi="Calibri"/>
        </w:rPr>
        <w:t>surgeons and to civil rights lawyers as due to their proximity to sites of blood and suffering.</w:t>
      </w:r>
    </w:p>
    <w:sectPr w:rsidR="005F57D7" w:rsidRPr="00AD61A9" w:rsidSect="007B11C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FBB5D" w14:textId="77777777" w:rsidR="00593A59" w:rsidRDefault="00593A59" w:rsidP="00251C87">
      <w:r>
        <w:separator/>
      </w:r>
    </w:p>
  </w:endnote>
  <w:endnote w:type="continuationSeparator" w:id="0">
    <w:p w14:paraId="187EA9F3" w14:textId="77777777" w:rsidR="00593A59" w:rsidRDefault="00593A59" w:rsidP="0025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7E019" w14:textId="77777777" w:rsidR="00593A59" w:rsidRDefault="00593A59" w:rsidP="00251C87">
      <w:r>
        <w:separator/>
      </w:r>
    </w:p>
  </w:footnote>
  <w:footnote w:type="continuationSeparator" w:id="0">
    <w:p w14:paraId="32C4D86C" w14:textId="77777777" w:rsidR="00593A59" w:rsidRDefault="00593A59" w:rsidP="00251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7E"/>
    <w:rsid w:val="000A0188"/>
    <w:rsid w:val="000A4CDE"/>
    <w:rsid w:val="00142531"/>
    <w:rsid w:val="00151478"/>
    <w:rsid w:val="00153294"/>
    <w:rsid w:val="00197912"/>
    <w:rsid w:val="00251C87"/>
    <w:rsid w:val="002A07FA"/>
    <w:rsid w:val="002A4E42"/>
    <w:rsid w:val="002B3AD5"/>
    <w:rsid w:val="003F1C08"/>
    <w:rsid w:val="00545C5D"/>
    <w:rsid w:val="00593A59"/>
    <w:rsid w:val="005D41CD"/>
    <w:rsid w:val="005F33E7"/>
    <w:rsid w:val="005F57D7"/>
    <w:rsid w:val="006B4602"/>
    <w:rsid w:val="006D05D2"/>
    <w:rsid w:val="00702811"/>
    <w:rsid w:val="00725EC1"/>
    <w:rsid w:val="00746E77"/>
    <w:rsid w:val="007B11CA"/>
    <w:rsid w:val="007C44BF"/>
    <w:rsid w:val="00804359"/>
    <w:rsid w:val="00804C87"/>
    <w:rsid w:val="008D42ED"/>
    <w:rsid w:val="008F6399"/>
    <w:rsid w:val="00AD61A9"/>
    <w:rsid w:val="00AE7992"/>
    <w:rsid w:val="00B933E6"/>
    <w:rsid w:val="00C8677E"/>
    <w:rsid w:val="00CC2325"/>
    <w:rsid w:val="00D13C5A"/>
    <w:rsid w:val="00D72087"/>
    <w:rsid w:val="00DA714D"/>
    <w:rsid w:val="00DD5C81"/>
    <w:rsid w:val="00E2138B"/>
    <w:rsid w:val="00E56F72"/>
    <w:rsid w:val="00E855FF"/>
    <w:rsid w:val="00E900C8"/>
    <w:rsid w:val="00E9291C"/>
    <w:rsid w:val="00EC14F0"/>
    <w:rsid w:val="00F62F67"/>
    <w:rsid w:val="00FE47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ED0F994"/>
  <w15:chartTrackingRefBased/>
  <w15:docId w15:val="{A7FCE3CB-5CB7-DC4B-BF1A-3E8A90D5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77E"/>
    <w:rPr>
      <w:rFonts w:eastAsiaTheme="minorEastAsia"/>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294"/>
    <w:rPr>
      <w:color w:val="0563C1" w:themeColor="hyperlink"/>
      <w:u w:val="single"/>
    </w:rPr>
  </w:style>
  <w:style w:type="character" w:styleId="UnresolvedMention">
    <w:name w:val="Unresolved Mention"/>
    <w:basedOn w:val="DefaultParagraphFont"/>
    <w:uiPriority w:val="99"/>
    <w:semiHidden/>
    <w:unhideWhenUsed/>
    <w:rsid w:val="00153294"/>
    <w:rPr>
      <w:color w:val="605E5C"/>
      <w:shd w:val="clear" w:color="auto" w:fill="E1DFDD"/>
    </w:rPr>
  </w:style>
  <w:style w:type="paragraph" w:styleId="FootnoteText">
    <w:name w:val="footnote text"/>
    <w:basedOn w:val="Normal"/>
    <w:link w:val="FootnoteTextChar"/>
    <w:uiPriority w:val="99"/>
    <w:semiHidden/>
    <w:unhideWhenUsed/>
    <w:rsid w:val="00251C87"/>
    <w:rPr>
      <w:sz w:val="20"/>
      <w:szCs w:val="20"/>
    </w:rPr>
  </w:style>
  <w:style w:type="character" w:customStyle="1" w:styleId="FootnoteTextChar">
    <w:name w:val="Footnote Text Char"/>
    <w:basedOn w:val="DefaultParagraphFont"/>
    <w:link w:val="FootnoteText"/>
    <w:uiPriority w:val="99"/>
    <w:semiHidden/>
    <w:rsid w:val="00251C87"/>
    <w:rPr>
      <w:rFonts w:eastAsiaTheme="minorEastAsia"/>
      <w:sz w:val="20"/>
      <w:szCs w:val="20"/>
      <w:lang w:val="en-GB"/>
    </w:rPr>
  </w:style>
  <w:style w:type="character" w:styleId="FootnoteReference">
    <w:name w:val="footnote reference"/>
    <w:basedOn w:val="DefaultParagraphFont"/>
    <w:uiPriority w:val="99"/>
    <w:semiHidden/>
    <w:unhideWhenUsed/>
    <w:rsid w:val="00251C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23121">
      <w:bodyDiv w:val="1"/>
      <w:marLeft w:val="0"/>
      <w:marRight w:val="0"/>
      <w:marTop w:val="0"/>
      <w:marBottom w:val="0"/>
      <w:divBdr>
        <w:top w:val="none" w:sz="0" w:space="0" w:color="auto"/>
        <w:left w:val="none" w:sz="0" w:space="0" w:color="auto"/>
        <w:bottom w:val="none" w:sz="0" w:space="0" w:color="auto"/>
        <w:right w:val="none" w:sz="0" w:space="0" w:color="auto"/>
      </w:divBdr>
    </w:div>
    <w:div w:id="379674983">
      <w:bodyDiv w:val="1"/>
      <w:marLeft w:val="0"/>
      <w:marRight w:val="0"/>
      <w:marTop w:val="0"/>
      <w:marBottom w:val="0"/>
      <w:divBdr>
        <w:top w:val="none" w:sz="0" w:space="0" w:color="auto"/>
        <w:left w:val="none" w:sz="0" w:space="0" w:color="auto"/>
        <w:bottom w:val="none" w:sz="0" w:space="0" w:color="auto"/>
        <w:right w:val="none" w:sz="0" w:space="0" w:color="auto"/>
      </w:divBdr>
    </w:div>
    <w:div w:id="481194643">
      <w:bodyDiv w:val="1"/>
      <w:marLeft w:val="0"/>
      <w:marRight w:val="0"/>
      <w:marTop w:val="0"/>
      <w:marBottom w:val="0"/>
      <w:divBdr>
        <w:top w:val="none" w:sz="0" w:space="0" w:color="auto"/>
        <w:left w:val="none" w:sz="0" w:space="0" w:color="auto"/>
        <w:bottom w:val="none" w:sz="0" w:space="0" w:color="auto"/>
        <w:right w:val="none" w:sz="0" w:space="0" w:color="auto"/>
      </w:divBdr>
    </w:div>
    <w:div w:id="796073135">
      <w:bodyDiv w:val="1"/>
      <w:marLeft w:val="0"/>
      <w:marRight w:val="0"/>
      <w:marTop w:val="0"/>
      <w:marBottom w:val="0"/>
      <w:divBdr>
        <w:top w:val="none" w:sz="0" w:space="0" w:color="auto"/>
        <w:left w:val="none" w:sz="0" w:space="0" w:color="auto"/>
        <w:bottom w:val="none" w:sz="0" w:space="0" w:color="auto"/>
        <w:right w:val="none" w:sz="0" w:space="0" w:color="auto"/>
      </w:divBdr>
    </w:div>
    <w:div w:id="868373656">
      <w:bodyDiv w:val="1"/>
      <w:marLeft w:val="0"/>
      <w:marRight w:val="0"/>
      <w:marTop w:val="0"/>
      <w:marBottom w:val="0"/>
      <w:divBdr>
        <w:top w:val="none" w:sz="0" w:space="0" w:color="auto"/>
        <w:left w:val="none" w:sz="0" w:space="0" w:color="auto"/>
        <w:bottom w:val="none" w:sz="0" w:space="0" w:color="auto"/>
        <w:right w:val="none" w:sz="0" w:space="0" w:color="auto"/>
      </w:divBdr>
    </w:div>
    <w:div w:id="902061876">
      <w:bodyDiv w:val="1"/>
      <w:marLeft w:val="0"/>
      <w:marRight w:val="0"/>
      <w:marTop w:val="0"/>
      <w:marBottom w:val="0"/>
      <w:divBdr>
        <w:top w:val="none" w:sz="0" w:space="0" w:color="auto"/>
        <w:left w:val="none" w:sz="0" w:space="0" w:color="auto"/>
        <w:bottom w:val="none" w:sz="0" w:space="0" w:color="auto"/>
        <w:right w:val="none" w:sz="0" w:space="0" w:color="auto"/>
      </w:divBdr>
    </w:div>
    <w:div w:id="971210437">
      <w:bodyDiv w:val="1"/>
      <w:marLeft w:val="0"/>
      <w:marRight w:val="0"/>
      <w:marTop w:val="0"/>
      <w:marBottom w:val="0"/>
      <w:divBdr>
        <w:top w:val="none" w:sz="0" w:space="0" w:color="auto"/>
        <w:left w:val="none" w:sz="0" w:space="0" w:color="auto"/>
        <w:bottom w:val="none" w:sz="0" w:space="0" w:color="auto"/>
        <w:right w:val="none" w:sz="0" w:space="0" w:color="auto"/>
      </w:divBdr>
    </w:div>
    <w:div w:id="1027297065">
      <w:bodyDiv w:val="1"/>
      <w:marLeft w:val="0"/>
      <w:marRight w:val="0"/>
      <w:marTop w:val="0"/>
      <w:marBottom w:val="0"/>
      <w:divBdr>
        <w:top w:val="none" w:sz="0" w:space="0" w:color="auto"/>
        <w:left w:val="none" w:sz="0" w:space="0" w:color="auto"/>
        <w:bottom w:val="none" w:sz="0" w:space="0" w:color="auto"/>
        <w:right w:val="none" w:sz="0" w:space="0" w:color="auto"/>
      </w:divBdr>
    </w:div>
    <w:div w:id="1116172054">
      <w:bodyDiv w:val="1"/>
      <w:marLeft w:val="0"/>
      <w:marRight w:val="0"/>
      <w:marTop w:val="0"/>
      <w:marBottom w:val="0"/>
      <w:divBdr>
        <w:top w:val="none" w:sz="0" w:space="0" w:color="auto"/>
        <w:left w:val="none" w:sz="0" w:space="0" w:color="auto"/>
        <w:bottom w:val="none" w:sz="0" w:space="0" w:color="auto"/>
        <w:right w:val="none" w:sz="0" w:space="0" w:color="auto"/>
      </w:divBdr>
    </w:div>
    <w:div w:id="1189952312">
      <w:bodyDiv w:val="1"/>
      <w:marLeft w:val="0"/>
      <w:marRight w:val="0"/>
      <w:marTop w:val="0"/>
      <w:marBottom w:val="0"/>
      <w:divBdr>
        <w:top w:val="none" w:sz="0" w:space="0" w:color="auto"/>
        <w:left w:val="none" w:sz="0" w:space="0" w:color="auto"/>
        <w:bottom w:val="none" w:sz="0" w:space="0" w:color="auto"/>
        <w:right w:val="none" w:sz="0" w:space="0" w:color="auto"/>
      </w:divBdr>
    </w:div>
    <w:div w:id="1226455912">
      <w:bodyDiv w:val="1"/>
      <w:marLeft w:val="0"/>
      <w:marRight w:val="0"/>
      <w:marTop w:val="0"/>
      <w:marBottom w:val="0"/>
      <w:divBdr>
        <w:top w:val="none" w:sz="0" w:space="0" w:color="auto"/>
        <w:left w:val="none" w:sz="0" w:space="0" w:color="auto"/>
        <w:bottom w:val="none" w:sz="0" w:space="0" w:color="auto"/>
        <w:right w:val="none" w:sz="0" w:space="0" w:color="auto"/>
      </w:divBdr>
    </w:div>
    <w:div w:id="1410537283">
      <w:bodyDiv w:val="1"/>
      <w:marLeft w:val="0"/>
      <w:marRight w:val="0"/>
      <w:marTop w:val="0"/>
      <w:marBottom w:val="0"/>
      <w:divBdr>
        <w:top w:val="none" w:sz="0" w:space="0" w:color="auto"/>
        <w:left w:val="none" w:sz="0" w:space="0" w:color="auto"/>
        <w:bottom w:val="none" w:sz="0" w:space="0" w:color="auto"/>
        <w:right w:val="none" w:sz="0" w:space="0" w:color="auto"/>
      </w:divBdr>
    </w:div>
    <w:div w:id="1445340621">
      <w:bodyDiv w:val="1"/>
      <w:marLeft w:val="0"/>
      <w:marRight w:val="0"/>
      <w:marTop w:val="0"/>
      <w:marBottom w:val="0"/>
      <w:divBdr>
        <w:top w:val="none" w:sz="0" w:space="0" w:color="auto"/>
        <w:left w:val="none" w:sz="0" w:space="0" w:color="auto"/>
        <w:bottom w:val="none" w:sz="0" w:space="0" w:color="auto"/>
        <w:right w:val="none" w:sz="0" w:space="0" w:color="auto"/>
      </w:divBdr>
    </w:div>
    <w:div w:id="1521047605">
      <w:bodyDiv w:val="1"/>
      <w:marLeft w:val="0"/>
      <w:marRight w:val="0"/>
      <w:marTop w:val="0"/>
      <w:marBottom w:val="0"/>
      <w:divBdr>
        <w:top w:val="none" w:sz="0" w:space="0" w:color="auto"/>
        <w:left w:val="none" w:sz="0" w:space="0" w:color="auto"/>
        <w:bottom w:val="none" w:sz="0" w:space="0" w:color="auto"/>
        <w:right w:val="none" w:sz="0" w:space="0" w:color="auto"/>
      </w:divBdr>
    </w:div>
    <w:div w:id="1589461743">
      <w:bodyDiv w:val="1"/>
      <w:marLeft w:val="0"/>
      <w:marRight w:val="0"/>
      <w:marTop w:val="0"/>
      <w:marBottom w:val="0"/>
      <w:divBdr>
        <w:top w:val="none" w:sz="0" w:space="0" w:color="auto"/>
        <w:left w:val="none" w:sz="0" w:space="0" w:color="auto"/>
        <w:bottom w:val="none" w:sz="0" w:space="0" w:color="auto"/>
        <w:right w:val="none" w:sz="0" w:space="0" w:color="auto"/>
      </w:divBdr>
    </w:div>
    <w:div w:id="1806657699">
      <w:bodyDiv w:val="1"/>
      <w:marLeft w:val="0"/>
      <w:marRight w:val="0"/>
      <w:marTop w:val="0"/>
      <w:marBottom w:val="0"/>
      <w:divBdr>
        <w:top w:val="none" w:sz="0" w:space="0" w:color="auto"/>
        <w:left w:val="none" w:sz="0" w:space="0" w:color="auto"/>
        <w:bottom w:val="none" w:sz="0" w:space="0" w:color="auto"/>
        <w:right w:val="none" w:sz="0" w:space="0" w:color="auto"/>
      </w:divBdr>
    </w:div>
    <w:div w:id="211636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465/30040678" TargetMode="External"/><Relationship Id="rId3" Type="http://schemas.openxmlformats.org/officeDocument/2006/relationships/webSettings" Target="webSettings.xml"/><Relationship Id="rId7" Type="http://schemas.openxmlformats.org/officeDocument/2006/relationships/hyperlink" Target="https://doi.org/10.1006/jvbe.2001.181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ser.wits.ac.za/event/emotional-toll-social-justice-work-medicine-and-law"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doi.org/10.1086/227318" TargetMode="External"/><Relationship Id="rId4" Type="http://schemas.openxmlformats.org/officeDocument/2006/relationships/footnotes" Target="footnotes.xml"/><Relationship Id="rId9" Type="http://schemas.openxmlformats.org/officeDocument/2006/relationships/hyperlink" Target="https://www.iol.co.za/news/opinion/lifeesidimeni-what-the-public-didnt-see-at-the-arbitration-hearings-139162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32</cp:revision>
  <dcterms:created xsi:type="dcterms:W3CDTF">2018-07-26T14:30:00Z</dcterms:created>
  <dcterms:modified xsi:type="dcterms:W3CDTF">2018-07-31T07:40:00Z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id="dqJQhTEA"/&gt;&lt;style id="http://www.zotero.org/styles/chicago-fullnote-bibliography" locale="en-US" hasBibliography="1" bibliographyStyleHasBeenSet="0"/&gt;&lt;prefs&gt;&lt;pref name="fieldType" value="Field"/&gt;</vt:lpwstr>
  </property>
  <property fmtid="{D5CDD505-2E9C-101B-9397-08002B2CF9AE}" pid="3" name="ZOTERO_PREF_2">
    <vt:lpwstr>&lt;pref name="automaticJournalAbbreviations" value="true"/&gt;&lt;pref name="noteType" value="1"/&gt;&lt;/prefs&gt;&lt;/data&gt;</vt:lpwstr>
  </property>
</Properties>
</file>